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8C788" w14:textId="77777777" w:rsidR="008472C0" w:rsidRPr="009B7685" w:rsidRDefault="008472C0" w:rsidP="008472C0">
      <w:pPr>
        <w:pStyle w:val="Cabealho"/>
        <w:rPr>
          <w:rFonts w:eastAsia="Calibri,Times New Roman" w:cstheme="minorHAnsi"/>
          <w:b/>
          <w:bCs/>
          <w:sz w:val="28"/>
          <w:szCs w:val="28"/>
        </w:rPr>
      </w:pPr>
      <w:bookmarkStart w:id="0" w:name="_GoBack"/>
      <w:bookmarkEnd w:id="0"/>
    </w:p>
    <w:p w14:paraId="619B9741" w14:textId="77777777" w:rsidR="008472C0" w:rsidRPr="009B7685" w:rsidRDefault="008472C0" w:rsidP="008472C0">
      <w:pPr>
        <w:pStyle w:val="Cabealho"/>
        <w:jc w:val="center"/>
        <w:rPr>
          <w:rFonts w:eastAsia="Calibri" w:cstheme="minorHAnsi"/>
          <w:b/>
          <w:sz w:val="28"/>
          <w:szCs w:val="28"/>
        </w:rPr>
      </w:pPr>
    </w:p>
    <w:p w14:paraId="2906735A" w14:textId="77777777" w:rsidR="008472C0" w:rsidRPr="009B7685" w:rsidRDefault="008472C0" w:rsidP="008472C0">
      <w:pPr>
        <w:pStyle w:val="Cabealho"/>
        <w:jc w:val="center"/>
        <w:rPr>
          <w:rFonts w:eastAsia="Calibri" w:cstheme="minorHAnsi"/>
          <w:b/>
          <w:sz w:val="28"/>
          <w:szCs w:val="28"/>
        </w:rPr>
      </w:pPr>
    </w:p>
    <w:p w14:paraId="77841C42" w14:textId="77777777" w:rsidR="008472C0" w:rsidRPr="009B7685" w:rsidRDefault="008472C0" w:rsidP="008472C0">
      <w:pPr>
        <w:pStyle w:val="Cabealho"/>
        <w:jc w:val="center"/>
        <w:rPr>
          <w:rFonts w:eastAsia="Calibri" w:cstheme="minorHAnsi"/>
          <w:b/>
          <w:sz w:val="28"/>
          <w:szCs w:val="28"/>
        </w:rPr>
      </w:pPr>
    </w:p>
    <w:p w14:paraId="223D04A4" w14:textId="77777777" w:rsidR="008472C0" w:rsidRPr="009B7685" w:rsidRDefault="008472C0" w:rsidP="008472C0">
      <w:pPr>
        <w:pStyle w:val="Cabealho"/>
        <w:jc w:val="center"/>
        <w:rPr>
          <w:rFonts w:eastAsia="Calibri" w:cstheme="minorHAnsi"/>
          <w:b/>
          <w:sz w:val="28"/>
          <w:szCs w:val="28"/>
        </w:rPr>
      </w:pPr>
    </w:p>
    <w:p w14:paraId="19E7DA60" w14:textId="77777777" w:rsidR="008472C0" w:rsidRPr="009B7685" w:rsidRDefault="008472C0" w:rsidP="008472C0">
      <w:pPr>
        <w:pStyle w:val="Cabealho"/>
        <w:jc w:val="center"/>
        <w:rPr>
          <w:rFonts w:eastAsia="Calibri" w:cstheme="minorHAnsi"/>
          <w:b/>
          <w:sz w:val="28"/>
          <w:szCs w:val="28"/>
        </w:rPr>
      </w:pPr>
    </w:p>
    <w:p w14:paraId="6EB163B2" w14:textId="77777777" w:rsidR="008472C0" w:rsidRPr="009B7685" w:rsidRDefault="008472C0" w:rsidP="008472C0">
      <w:pPr>
        <w:pStyle w:val="Cabealho"/>
        <w:jc w:val="center"/>
        <w:rPr>
          <w:rFonts w:eastAsia="Calibri,Times New Roman" w:cstheme="minorHAnsi"/>
          <w:b/>
          <w:bCs/>
          <w:sz w:val="28"/>
          <w:szCs w:val="28"/>
        </w:rPr>
      </w:pPr>
    </w:p>
    <w:p w14:paraId="264AA72A" w14:textId="77777777" w:rsidR="008472C0" w:rsidRPr="009B7685" w:rsidRDefault="008472C0" w:rsidP="008472C0">
      <w:pPr>
        <w:pStyle w:val="Cabealho"/>
        <w:jc w:val="center"/>
        <w:rPr>
          <w:rFonts w:eastAsia="Calibri" w:cstheme="minorHAnsi"/>
          <w:b/>
          <w:sz w:val="28"/>
          <w:szCs w:val="28"/>
        </w:rPr>
      </w:pPr>
    </w:p>
    <w:sdt>
      <w:sdtPr>
        <w:rPr>
          <w:rFonts w:asciiTheme="minorHAnsi" w:hAnsiTheme="minorHAnsi" w:cstheme="minorHAnsi"/>
        </w:rPr>
        <w:alias w:val="Título"/>
        <w:tag w:val=""/>
        <w:id w:val="-966273606"/>
        <w:placeholder>
          <w:docPart w:val="DC36B802F8CC4650AF83BD9D4895EF74"/>
        </w:placeholder>
        <w:dataBinding w:prefixMappings="xmlns:ns0='http://purl.org/dc/elements/1.1/' xmlns:ns1='http://schemas.openxmlformats.org/package/2006/metadata/core-properties' " w:xpath="/ns1:coreProperties[1]/ns0:title[1]" w:storeItemID="{6C3C8BC8-F283-45AE-878A-BAB7291924A1}"/>
        <w:text/>
      </w:sdtPr>
      <w:sdtEndPr/>
      <w:sdtContent>
        <w:p w14:paraId="18FBC7B5" w14:textId="77777777" w:rsidR="008472C0" w:rsidRPr="009B7685" w:rsidRDefault="00DB26E8" w:rsidP="008472C0">
          <w:pPr>
            <w:pStyle w:val="Ttulo"/>
            <w:jc w:val="center"/>
            <w:rPr>
              <w:rFonts w:asciiTheme="minorHAnsi" w:hAnsiTheme="minorHAnsi" w:cstheme="minorHAnsi"/>
            </w:rPr>
          </w:pPr>
          <w:r>
            <w:rPr>
              <w:rFonts w:asciiTheme="minorHAnsi" w:hAnsiTheme="minorHAnsi" w:cstheme="minorHAnsi"/>
            </w:rPr>
            <w:t>Estudos Preliminares</w:t>
          </w:r>
        </w:p>
      </w:sdtContent>
    </w:sdt>
    <w:sdt>
      <w:sdtPr>
        <w:rPr>
          <w:rFonts w:asciiTheme="minorHAnsi" w:hAnsiTheme="minorHAnsi" w:cstheme="minorHAnsi"/>
          <w:i w:val="0"/>
          <w:color w:val="000000" w:themeColor="text1"/>
          <w:sz w:val="28"/>
          <w:szCs w:val="28"/>
        </w:rPr>
        <w:alias w:val="Assunto"/>
        <w:tag w:val=""/>
        <w:id w:val="-1672861740"/>
        <w:placeholder>
          <w:docPart w:val="080A99E569B64248AECF65D20BB39AA6"/>
        </w:placeholder>
        <w:dataBinding w:prefixMappings="xmlns:ns0='http://purl.org/dc/elements/1.1/' xmlns:ns1='http://schemas.openxmlformats.org/package/2006/metadata/core-properties' " w:xpath="/ns1:coreProperties[1]/ns0:subject[1]" w:storeItemID="{6C3C8BC8-F283-45AE-878A-BAB7291924A1}"/>
        <w:text/>
      </w:sdtPr>
      <w:sdtEndPr/>
      <w:sdtContent>
        <w:p w14:paraId="0E292F3E" w14:textId="77777777" w:rsidR="008472C0" w:rsidRPr="009B7685" w:rsidRDefault="00DB26E8" w:rsidP="008472C0">
          <w:pPr>
            <w:pStyle w:val="Subttulo"/>
            <w:jc w:val="center"/>
            <w:rPr>
              <w:rFonts w:asciiTheme="minorHAnsi" w:hAnsiTheme="minorHAnsi" w:cstheme="minorHAnsi"/>
              <w:i w:val="0"/>
              <w:sz w:val="28"/>
              <w:szCs w:val="28"/>
            </w:rPr>
          </w:pPr>
          <w:r>
            <w:rPr>
              <w:rFonts w:asciiTheme="minorHAnsi" w:hAnsiTheme="minorHAnsi" w:cstheme="minorHAnsi"/>
              <w:i w:val="0"/>
              <w:color w:val="000000" w:themeColor="text1"/>
              <w:sz w:val="28"/>
              <w:szCs w:val="28"/>
            </w:rPr>
            <w:t>Aquisição de Storage com suporte técnico e garantia</w:t>
          </w:r>
        </w:p>
      </w:sdtContent>
    </w:sdt>
    <w:p w14:paraId="5D0611BF" w14:textId="77777777" w:rsidR="008472C0" w:rsidRDefault="008472C0" w:rsidP="008472C0">
      <w:pPr>
        <w:spacing w:after="200"/>
        <w:rPr>
          <w:rFonts w:cstheme="minorHAnsi"/>
        </w:rPr>
      </w:pPr>
      <w:r w:rsidRPr="009B7685">
        <w:rPr>
          <w:rFonts w:cstheme="minorHAnsi"/>
        </w:rPr>
        <w:br w:type="page"/>
      </w:r>
    </w:p>
    <w:sdt>
      <w:sdtPr>
        <w:rPr>
          <w:rFonts w:asciiTheme="minorHAnsi" w:eastAsiaTheme="minorHAnsi" w:hAnsiTheme="minorHAnsi" w:cstheme="minorHAnsi"/>
          <w:b w:val="0"/>
          <w:bCs w:val="0"/>
          <w:caps w:val="0"/>
          <w:color w:val="auto"/>
          <w:sz w:val="22"/>
          <w:szCs w:val="22"/>
        </w:rPr>
        <w:id w:val="446283734"/>
        <w:docPartObj>
          <w:docPartGallery w:val="Table of Contents"/>
          <w:docPartUnique/>
        </w:docPartObj>
      </w:sdtPr>
      <w:sdtEndPr/>
      <w:sdtContent>
        <w:p w14:paraId="4CE3BD61" w14:textId="77777777" w:rsidR="008472C0" w:rsidRPr="009B7685" w:rsidRDefault="008472C0" w:rsidP="008472C0">
          <w:pPr>
            <w:pStyle w:val="CabealhodoSumrio"/>
            <w:rPr>
              <w:rFonts w:asciiTheme="minorHAnsi" w:hAnsiTheme="minorHAnsi" w:cstheme="minorHAnsi"/>
            </w:rPr>
          </w:pPr>
          <w:r w:rsidRPr="009B7685">
            <w:rPr>
              <w:rFonts w:asciiTheme="minorHAnsi" w:hAnsiTheme="minorHAnsi" w:cstheme="minorHAnsi"/>
            </w:rPr>
            <w:t>Sumário</w:t>
          </w:r>
        </w:p>
        <w:p w14:paraId="57E508C8" w14:textId="77777777" w:rsidR="008472C0" w:rsidRPr="009B7685" w:rsidRDefault="008472C0" w:rsidP="008472C0">
          <w:pPr>
            <w:pStyle w:val="Sumrio1"/>
            <w:rPr>
              <w:rFonts w:eastAsiaTheme="minorEastAsia"/>
              <w:b w:val="0"/>
              <w:bCs w:val="0"/>
              <w:caps w:val="0"/>
              <w:noProof/>
              <w:sz w:val="22"/>
              <w:szCs w:val="22"/>
            </w:rPr>
          </w:pPr>
          <w:r w:rsidRPr="009B7685">
            <w:fldChar w:fldCharType="begin"/>
          </w:r>
          <w:r w:rsidRPr="009B7685">
            <w:instrText xml:space="preserve"> TOC \o "1-3" \h \z \u </w:instrText>
          </w:r>
          <w:r w:rsidRPr="009B7685">
            <w:fldChar w:fldCharType="separate"/>
          </w:r>
          <w:hyperlink w:anchor="_Toc534884796" w:history="1">
            <w:r w:rsidRPr="009B7685">
              <w:rPr>
                <w:rStyle w:val="Hyperlink"/>
                <w:noProof/>
              </w:rPr>
              <w:t>1</w:t>
            </w:r>
            <w:r w:rsidRPr="009B7685">
              <w:rPr>
                <w:rFonts w:eastAsiaTheme="minorEastAsia"/>
                <w:b w:val="0"/>
                <w:bCs w:val="0"/>
                <w:caps w:val="0"/>
                <w:noProof/>
                <w:sz w:val="22"/>
                <w:szCs w:val="22"/>
              </w:rPr>
              <w:tab/>
            </w:r>
            <w:r w:rsidRPr="009B7685">
              <w:rPr>
                <w:rStyle w:val="Hyperlink"/>
                <w:noProof/>
              </w:rPr>
              <w:t>ANÁLISE DE VIABILIDADE DA CONTRATAÇÃO (Art. 14)</w:t>
            </w:r>
            <w:r w:rsidRPr="009B7685">
              <w:rPr>
                <w:noProof/>
                <w:webHidden/>
              </w:rPr>
              <w:tab/>
            </w:r>
            <w:r w:rsidRPr="009B7685">
              <w:rPr>
                <w:noProof/>
                <w:webHidden/>
              </w:rPr>
              <w:fldChar w:fldCharType="begin"/>
            </w:r>
            <w:r w:rsidRPr="009B7685">
              <w:rPr>
                <w:noProof/>
                <w:webHidden/>
              </w:rPr>
              <w:instrText xml:space="preserve"> PAGEREF _Toc534884796 \h </w:instrText>
            </w:r>
            <w:r w:rsidRPr="009B7685">
              <w:rPr>
                <w:noProof/>
                <w:webHidden/>
              </w:rPr>
            </w:r>
            <w:r w:rsidRPr="009B7685">
              <w:rPr>
                <w:noProof/>
                <w:webHidden/>
              </w:rPr>
              <w:fldChar w:fldCharType="separate"/>
            </w:r>
            <w:r w:rsidR="006C34E9">
              <w:rPr>
                <w:noProof/>
                <w:webHidden/>
              </w:rPr>
              <w:t>3</w:t>
            </w:r>
            <w:r w:rsidRPr="009B7685">
              <w:rPr>
                <w:noProof/>
                <w:webHidden/>
              </w:rPr>
              <w:fldChar w:fldCharType="end"/>
            </w:r>
          </w:hyperlink>
        </w:p>
        <w:p w14:paraId="088EB2A2" w14:textId="77777777" w:rsidR="008472C0" w:rsidRPr="009B7685" w:rsidRDefault="00044427" w:rsidP="008472C0">
          <w:pPr>
            <w:pStyle w:val="Sumrio2"/>
            <w:rPr>
              <w:rFonts w:eastAsiaTheme="minorEastAsia"/>
              <w:smallCaps w:val="0"/>
              <w:noProof/>
              <w:sz w:val="22"/>
              <w:szCs w:val="22"/>
            </w:rPr>
          </w:pPr>
          <w:hyperlink w:anchor="_Toc534884797" w:history="1">
            <w:r w:rsidR="008472C0" w:rsidRPr="009B7685">
              <w:rPr>
                <w:rStyle w:val="Hyperlink"/>
                <w:noProof/>
              </w:rPr>
              <w:t>Contextualização</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_Toc534884797 \h </w:instrText>
            </w:r>
            <w:r w:rsidR="008472C0" w:rsidRPr="009B7685">
              <w:rPr>
                <w:noProof/>
                <w:webHidden/>
              </w:rPr>
            </w:r>
            <w:r w:rsidR="008472C0" w:rsidRPr="009B7685">
              <w:rPr>
                <w:noProof/>
                <w:webHidden/>
              </w:rPr>
              <w:fldChar w:fldCharType="separate"/>
            </w:r>
            <w:r w:rsidR="006C34E9">
              <w:rPr>
                <w:noProof/>
                <w:webHidden/>
              </w:rPr>
              <w:t>3</w:t>
            </w:r>
            <w:r w:rsidR="008472C0" w:rsidRPr="009B7685">
              <w:rPr>
                <w:noProof/>
                <w:webHidden/>
              </w:rPr>
              <w:fldChar w:fldCharType="end"/>
            </w:r>
          </w:hyperlink>
        </w:p>
        <w:p w14:paraId="65679963" w14:textId="77777777" w:rsidR="008472C0" w:rsidRPr="009B7685" w:rsidRDefault="00044427" w:rsidP="008472C0">
          <w:pPr>
            <w:pStyle w:val="Sumrio2"/>
            <w:rPr>
              <w:rFonts w:eastAsiaTheme="minorEastAsia"/>
              <w:smallCaps w:val="0"/>
              <w:noProof/>
              <w:sz w:val="22"/>
              <w:szCs w:val="22"/>
            </w:rPr>
          </w:pPr>
          <w:hyperlink w:anchor="_Toc534884798" w:history="1">
            <w:r w:rsidR="008472C0" w:rsidRPr="009B7685">
              <w:rPr>
                <w:rStyle w:val="Hyperlink"/>
                <w:noProof/>
              </w:rPr>
              <w:t>1.1</w:t>
            </w:r>
            <w:r w:rsidR="008472C0" w:rsidRPr="009B7685">
              <w:rPr>
                <w:rFonts w:eastAsiaTheme="minorEastAsia"/>
                <w:smallCaps w:val="0"/>
                <w:noProof/>
                <w:sz w:val="22"/>
                <w:szCs w:val="22"/>
              </w:rPr>
              <w:tab/>
            </w:r>
            <w:r w:rsidR="008472C0" w:rsidRPr="009B7685">
              <w:rPr>
                <w:rStyle w:val="Hyperlink"/>
                <w:noProof/>
              </w:rPr>
              <w:t>Definição e Especificação dos Requisitos da Demanda (Art. 14, I)</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_Toc534884798 \h </w:instrText>
            </w:r>
            <w:r w:rsidR="008472C0" w:rsidRPr="009B7685">
              <w:rPr>
                <w:noProof/>
                <w:webHidden/>
              </w:rPr>
            </w:r>
            <w:r w:rsidR="008472C0" w:rsidRPr="009B7685">
              <w:rPr>
                <w:noProof/>
                <w:webHidden/>
              </w:rPr>
              <w:fldChar w:fldCharType="separate"/>
            </w:r>
            <w:r w:rsidR="006C34E9">
              <w:rPr>
                <w:noProof/>
                <w:webHidden/>
              </w:rPr>
              <w:t>5</w:t>
            </w:r>
            <w:r w:rsidR="008472C0" w:rsidRPr="009B7685">
              <w:rPr>
                <w:noProof/>
                <w:webHidden/>
              </w:rPr>
              <w:fldChar w:fldCharType="end"/>
            </w:r>
          </w:hyperlink>
        </w:p>
        <w:p w14:paraId="52744F11" w14:textId="77777777" w:rsidR="008472C0" w:rsidRPr="009B7685" w:rsidRDefault="00044427" w:rsidP="008472C0">
          <w:pPr>
            <w:pStyle w:val="Sumrio2"/>
            <w:rPr>
              <w:rFonts w:eastAsiaTheme="minorEastAsia"/>
              <w:smallCaps w:val="0"/>
              <w:noProof/>
              <w:sz w:val="22"/>
              <w:szCs w:val="22"/>
            </w:rPr>
          </w:pPr>
          <w:hyperlink w:anchor="_Toc534884799" w:history="1">
            <w:r w:rsidR="008472C0" w:rsidRPr="009B7685">
              <w:rPr>
                <w:rStyle w:val="Hyperlink"/>
                <w:noProof/>
              </w:rPr>
              <w:t>1.2</w:t>
            </w:r>
            <w:r w:rsidR="008472C0" w:rsidRPr="009B7685">
              <w:rPr>
                <w:rFonts w:eastAsiaTheme="minorEastAsia"/>
                <w:smallCaps w:val="0"/>
                <w:noProof/>
                <w:sz w:val="22"/>
                <w:szCs w:val="22"/>
              </w:rPr>
              <w:tab/>
            </w:r>
            <w:r w:rsidR="008472C0" w:rsidRPr="009B7685">
              <w:rPr>
                <w:rStyle w:val="Hyperlink"/>
                <w:noProof/>
              </w:rPr>
              <w:t>Soluções Disponíveis no Mercado de TIC (Art. 14, I, a)</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_Toc534884799 \h </w:instrText>
            </w:r>
            <w:r w:rsidR="008472C0" w:rsidRPr="009B7685">
              <w:rPr>
                <w:noProof/>
                <w:webHidden/>
              </w:rPr>
            </w:r>
            <w:r w:rsidR="008472C0" w:rsidRPr="009B7685">
              <w:rPr>
                <w:noProof/>
                <w:webHidden/>
              </w:rPr>
              <w:fldChar w:fldCharType="separate"/>
            </w:r>
            <w:r w:rsidR="006C34E9">
              <w:rPr>
                <w:noProof/>
                <w:webHidden/>
              </w:rPr>
              <w:t>9</w:t>
            </w:r>
            <w:r w:rsidR="008472C0" w:rsidRPr="009B7685">
              <w:rPr>
                <w:noProof/>
                <w:webHidden/>
              </w:rPr>
              <w:fldChar w:fldCharType="end"/>
            </w:r>
          </w:hyperlink>
        </w:p>
        <w:p w14:paraId="530A32CA" w14:textId="77777777" w:rsidR="008472C0" w:rsidRPr="009B7685" w:rsidRDefault="00044427" w:rsidP="008472C0">
          <w:pPr>
            <w:pStyle w:val="Sumrio2"/>
            <w:rPr>
              <w:rFonts w:eastAsiaTheme="minorEastAsia"/>
              <w:smallCaps w:val="0"/>
              <w:noProof/>
              <w:sz w:val="22"/>
              <w:szCs w:val="22"/>
            </w:rPr>
          </w:pPr>
          <w:hyperlink w:anchor="_Toc534884800" w:history="1">
            <w:r w:rsidR="008472C0" w:rsidRPr="009B7685">
              <w:rPr>
                <w:rStyle w:val="Hyperlink"/>
                <w:noProof/>
              </w:rPr>
              <w:t>1.3</w:t>
            </w:r>
            <w:r w:rsidR="008472C0" w:rsidRPr="009B7685">
              <w:rPr>
                <w:rFonts w:eastAsiaTheme="minorEastAsia"/>
                <w:smallCaps w:val="0"/>
                <w:noProof/>
                <w:sz w:val="22"/>
                <w:szCs w:val="22"/>
              </w:rPr>
              <w:tab/>
            </w:r>
            <w:r w:rsidR="008472C0" w:rsidRPr="009B7685">
              <w:rPr>
                <w:rStyle w:val="Hyperlink"/>
                <w:noProof/>
              </w:rPr>
              <w:t>Contratações Públicas Similares (Art. 14, I, b)</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_Toc534884800 \h </w:instrText>
            </w:r>
            <w:r w:rsidR="008472C0" w:rsidRPr="009B7685">
              <w:rPr>
                <w:noProof/>
                <w:webHidden/>
              </w:rPr>
            </w:r>
            <w:r w:rsidR="008472C0" w:rsidRPr="009B7685">
              <w:rPr>
                <w:noProof/>
                <w:webHidden/>
              </w:rPr>
              <w:fldChar w:fldCharType="separate"/>
            </w:r>
            <w:r w:rsidR="006C34E9">
              <w:rPr>
                <w:noProof/>
                <w:webHidden/>
              </w:rPr>
              <w:t>10</w:t>
            </w:r>
            <w:r w:rsidR="008472C0" w:rsidRPr="009B7685">
              <w:rPr>
                <w:noProof/>
                <w:webHidden/>
              </w:rPr>
              <w:fldChar w:fldCharType="end"/>
            </w:r>
          </w:hyperlink>
        </w:p>
        <w:p w14:paraId="494B53A3" w14:textId="77777777" w:rsidR="008472C0" w:rsidRPr="009B7685" w:rsidRDefault="00044427" w:rsidP="008472C0">
          <w:pPr>
            <w:pStyle w:val="Sumrio2"/>
            <w:rPr>
              <w:rFonts w:eastAsiaTheme="minorEastAsia"/>
              <w:smallCaps w:val="0"/>
              <w:noProof/>
              <w:sz w:val="22"/>
              <w:szCs w:val="22"/>
            </w:rPr>
          </w:pPr>
          <w:hyperlink w:anchor="_Toc534884801" w:history="1">
            <w:r w:rsidR="008472C0" w:rsidRPr="009B7685">
              <w:rPr>
                <w:rStyle w:val="Hyperlink"/>
                <w:noProof/>
              </w:rPr>
              <w:t>1.4</w:t>
            </w:r>
            <w:r w:rsidR="008472C0" w:rsidRPr="009B7685">
              <w:rPr>
                <w:rFonts w:eastAsiaTheme="minorEastAsia"/>
                <w:smallCaps w:val="0"/>
                <w:noProof/>
                <w:sz w:val="22"/>
                <w:szCs w:val="22"/>
              </w:rPr>
              <w:tab/>
            </w:r>
            <w:r w:rsidR="008472C0" w:rsidRPr="009B7685">
              <w:rPr>
                <w:rStyle w:val="Hyperlink"/>
                <w:noProof/>
              </w:rPr>
              <w:t>Outras Soluções Disponíveis (Art. 14, II, a)</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_Toc534884801 \h </w:instrText>
            </w:r>
            <w:r w:rsidR="008472C0" w:rsidRPr="009B7685">
              <w:rPr>
                <w:noProof/>
                <w:webHidden/>
              </w:rPr>
            </w:r>
            <w:r w:rsidR="008472C0" w:rsidRPr="009B7685">
              <w:rPr>
                <w:noProof/>
                <w:webHidden/>
              </w:rPr>
              <w:fldChar w:fldCharType="separate"/>
            </w:r>
            <w:r w:rsidR="006C34E9">
              <w:rPr>
                <w:noProof/>
                <w:webHidden/>
              </w:rPr>
              <w:t>11</w:t>
            </w:r>
            <w:r w:rsidR="008472C0" w:rsidRPr="009B7685">
              <w:rPr>
                <w:noProof/>
                <w:webHidden/>
              </w:rPr>
              <w:fldChar w:fldCharType="end"/>
            </w:r>
          </w:hyperlink>
        </w:p>
        <w:p w14:paraId="69D46F66" w14:textId="77777777" w:rsidR="008472C0" w:rsidRPr="009B7685" w:rsidRDefault="00044427" w:rsidP="008472C0">
          <w:pPr>
            <w:pStyle w:val="Sumrio2"/>
            <w:rPr>
              <w:rFonts w:eastAsiaTheme="minorEastAsia"/>
              <w:smallCaps w:val="0"/>
              <w:noProof/>
              <w:sz w:val="22"/>
              <w:szCs w:val="22"/>
            </w:rPr>
          </w:pPr>
          <w:hyperlink w:anchor="_Toc534884802" w:history="1">
            <w:r w:rsidR="008472C0" w:rsidRPr="009B7685">
              <w:rPr>
                <w:rStyle w:val="Hyperlink"/>
                <w:noProof/>
              </w:rPr>
              <w:t>1.5</w:t>
            </w:r>
            <w:r w:rsidR="008472C0" w:rsidRPr="009B7685">
              <w:rPr>
                <w:rFonts w:eastAsiaTheme="minorEastAsia"/>
                <w:smallCaps w:val="0"/>
                <w:noProof/>
                <w:sz w:val="22"/>
                <w:szCs w:val="22"/>
              </w:rPr>
              <w:tab/>
            </w:r>
            <w:r w:rsidR="008472C0" w:rsidRPr="009B7685">
              <w:rPr>
                <w:rStyle w:val="Hyperlink"/>
                <w:noProof/>
              </w:rPr>
              <w:t>Portal do Software Público Brasileiro (Art. 14, II, b)</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_Toc534884802 \h </w:instrText>
            </w:r>
            <w:r w:rsidR="008472C0" w:rsidRPr="009B7685">
              <w:rPr>
                <w:noProof/>
                <w:webHidden/>
              </w:rPr>
            </w:r>
            <w:r w:rsidR="008472C0" w:rsidRPr="009B7685">
              <w:rPr>
                <w:noProof/>
                <w:webHidden/>
              </w:rPr>
              <w:fldChar w:fldCharType="separate"/>
            </w:r>
            <w:r w:rsidR="006C34E9">
              <w:rPr>
                <w:noProof/>
                <w:webHidden/>
              </w:rPr>
              <w:t>11</w:t>
            </w:r>
            <w:r w:rsidR="008472C0" w:rsidRPr="009B7685">
              <w:rPr>
                <w:noProof/>
                <w:webHidden/>
              </w:rPr>
              <w:fldChar w:fldCharType="end"/>
            </w:r>
          </w:hyperlink>
        </w:p>
        <w:p w14:paraId="15C29E6F" w14:textId="77777777" w:rsidR="008472C0" w:rsidRPr="009B7685" w:rsidRDefault="00044427" w:rsidP="008472C0">
          <w:pPr>
            <w:pStyle w:val="Sumrio2"/>
            <w:rPr>
              <w:rFonts w:eastAsiaTheme="minorEastAsia"/>
              <w:smallCaps w:val="0"/>
              <w:noProof/>
              <w:sz w:val="22"/>
              <w:szCs w:val="22"/>
            </w:rPr>
          </w:pPr>
          <w:hyperlink w:anchor="_Toc534884803" w:history="1">
            <w:r w:rsidR="008472C0" w:rsidRPr="009B7685">
              <w:rPr>
                <w:rStyle w:val="Hyperlink"/>
                <w:noProof/>
              </w:rPr>
              <w:t>1.6</w:t>
            </w:r>
            <w:r w:rsidR="008472C0" w:rsidRPr="009B7685">
              <w:rPr>
                <w:rFonts w:eastAsiaTheme="minorEastAsia"/>
                <w:smallCaps w:val="0"/>
                <w:noProof/>
                <w:sz w:val="22"/>
                <w:szCs w:val="22"/>
              </w:rPr>
              <w:tab/>
            </w:r>
            <w:r w:rsidR="008472C0" w:rsidRPr="009B7685">
              <w:rPr>
                <w:rStyle w:val="Hyperlink"/>
                <w:noProof/>
              </w:rPr>
              <w:t>Alternativa no Mercado de TIC (Art. 14, II, c)</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_Toc534884803 \h </w:instrText>
            </w:r>
            <w:r w:rsidR="008472C0" w:rsidRPr="009B7685">
              <w:rPr>
                <w:noProof/>
                <w:webHidden/>
              </w:rPr>
            </w:r>
            <w:r w:rsidR="008472C0" w:rsidRPr="009B7685">
              <w:rPr>
                <w:noProof/>
                <w:webHidden/>
              </w:rPr>
              <w:fldChar w:fldCharType="separate"/>
            </w:r>
            <w:r w:rsidR="006C34E9">
              <w:rPr>
                <w:noProof/>
                <w:webHidden/>
              </w:rPr>
              <w:t>11</w:t>
            </w:r>
            <w:r w:rsidR="008472C0" w:rsidRPr="009B7685">
              <w:rPr>
                <w:noProof/>
                <w:webHidden/>
              </w:rPr>
              <w:fldChar w:fldCharType="end"/>
            </w:r>
          </w:hyperlink>
        </w:p>
        <w:p w14:paraId="6644BDE5" w14:textId="77777777" w:rsidR="008472C0" w:rsidRPr="009B7685" w:rsidRDefault="00044427" w:rsidP="008472C0">
          <w:pPr>
            <w:pStyle w:val="Sumrio2"/>
            <w:rPr>
              <w:rFonts w:eastAsiaTheme="minorEastAsia"/>
              <w:smallCaps w:val="0"/>
              <w:noProof/>
              <w:sz w:val="22"/>
              <w:szCs w:val="22"/>
            </w:rPr>
          </w:pPr>
          <w:hyperlink w:anchor="_Toc534884804" w:history="1">
            <w:r w:rsidR="008472C0" w:rsidRPr="009B7685">
              <w:rPr>
                <w:rStyle w:val="Hyperlink"/>
                <w:noProof/>
              </w:rPr>
              <w:t>1.7</w:t>
            </w:r>
            <w:r w:rsidR="008472C0" w:rsidRPr="009B7685">
              <w:rPr>
                <w:rFonts w:eastAsiaTheme="minorEastAsia"/>
                <w:smallCaps w:val="0"/>
                <w:noProof/>
                <w:sz w:val="22"/>
                <w:szCs w:val="22"/>
              </w:rPr>
              <w:tab/>
            </w:r>
            <w:r w:rsidR="008472C0" w:rsidRPr="009B7685">
              <w:rPr>
                <w:rStyle w:val="Hyperlink"/>
                <w:noProof/>
              </w:rPr>
              <w:t>Modelo Nacional de Interoperabilidade – MNI (Art. 14, II, d)</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_Toc534884804 \h </w:instrText>
            </w:r>
            <w:r w:rsidR="008472C0" w:rsidRPr="009B7685">
              <w:rPr>
                <w:noProof/>
                <w:webHidden/>
              </w:rPr>
            </w:r>
            <w:r w:rsidR="008472C0" w:rsidRPr="009B7685">
              <w:rPr>
                <w:noProof/>
                <w:webHidden/>
              </w:rPr>
              <w:fldChar w:fldCharType="separate"/>
            </w:r>
            <w:r w:rsidR="006C34E9">
              <w:rPr>
                <w:noProof/>
                <w:webHidden/>
              </w:rPr>
              <w:t>11</w:t>
            </w:r>
            <w:r w:rsidR="008472C0" w:rsidRPr="009B7685">
              <w:rPr>
                <w:noProof/>
                <w:webHidden/>
              </w:rPr>
              <w:fldChar w:fldCharType="end"/>
            </w:r>
          </w:hyperlink>
        </w:p>
        <w:p w14:paraId="7635F585" w14:textId="77777777" w:rsidR="008472C0" w:rsidRPr="009B7685" w:rsidRDefault="00044427" w:rsidP="008472C0">
          <w:pPr>
            <w:pStyle w:val="Sumrio2"/>
            <w:rPr>
              <w:rFonts w:eastAsiaTheme="minorEastAsia"/>
              <w:smallCaps w:val="0"/>
              <w:noProof/>
              <w:sz w:val="22"/>
              <w:szCs w:val="22"/>
            </w:rPr>
          </w:pPr>
          <w:hyperlink w:anchor="_Toc534884805" w:history="1">
            <w:r w:rsidR="008472C0" w:rsidRPr="009B7685">
              <w:rPr>
                <w:rStyle w:val="Hyperlink"/>
                <w:noProof/>
              </w:rPr>
              <w:t>1.8</w:t>
            </w:r>
            <w:r w:rsidR="008472C0" w:rsidRPr="009B7685">
              <w:rPr>
                <w:rFonts w:eastAsiaTheme="minorEastAsia"/>
                <w:smallCaps w:val="0"/>
                <w:noProof/>
                <w:sz w:val="22"/>
                <w:szCs w:val="22"/>
              </w:rPr>
              <w:tab/>
            </w:r>
            <w:r w:rsidR="008472C0" w:rsidRPr="009B7685">
              <w:rPr>
                <w:rStyle w:val="Hyperlink"/>
                <w:noProof/>
              </w:rPr>
              <w:t>Infraestrutura de Chaves Públicas Brasileira – ICP-Brasil (Art. 14, II, e)</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_Toc534884805 \h </w:instrText>
            </w:r>
            <w:r w:rsidR="008472C0" w:rsidRPr="009B7685">
              <w:rPr>
                <w:noProof/>
                <w:webHidden/>
              </w:rPr>
            </w:r>
            <w:r w:rsidR="008472C0" w:rsidRPr="009B7685">
              <w:rPr>
                <w:noProof/>
                <w:webHidden/>
              </w:rPr>
              <w:fldChar w:fldCharType="separate"/>
            </w:r>
            <w:r w:rsidR="006C34E9">
              <w:rPr>
                <w:noProof/>
                <w:webHidden/>
              </w:rPr>
              <w:t>11</w:t>
            </w:r>
            <w:r w:rsidR="008472C0" w:rsidRPr="009B7685">
              <w:rPr>
                <w:noProof/>
                <w:webHidden/>
              </w:rPr>
              <w:fldChar w:fldCharType="end"/>
            </w:r>
          </w:hyperlink>
        </w:p>
        <w:p w14:paraId="0F18EEC6" w14:textId="77777777" w:rsidR="008472C0" w:rsidRPr="009B7685" w:rsidRDefault="00044427" w:rsidP="008472C0">
          <w:pPr>
            <w:pStyle w:val="Sumrio2"/>
            <w:rPr>
              <w:rFonts w:eastAsiaTheme="minorEastAsia"/>
              <w:smallCaps w:val="0"/>
              <w:noProof/>
              <w:sz w:val="22"/>
              <w:szCs w:val="22"/>
            </w:rPr>
          </w:pPr>
          <w:hyperlink w:anchor="_Toc534884806" w:history="1">
            <w:r w:rsidR="008472C0" w:rsidRPr="009B7685">
              <w:rPr>
                <w:rStyle w:val="Hyperlink"/>
                <w:noProof/>
              </w:rPr>
              <w:t>1.9</w:t>
            </w:r>
            <w:r w:rsidR="008472C0" w:rsidRPr="009B7685">
              <w:rPr>
                <w:rFonts w:eastAsiaTheme="minorEastAsia"/>
                <w:smallCaps w:val="0"/>
                <w:noProof/>
                <w:sz w:val="22"/>
                <w:szCs w:val="22"/>
              </w:rPr>
              <w:tab/>
            </w:r>
            <w:r w:rsidR="008472C0" w:rsidRPr="009B7685">
              <w:rPr>
                <w:rStyle w:val="Hyperlink"/>
                <w:noProof/>
              </w:rPr>
              <w:t>Modelo de Requisitos Moreq-Jus (Art. 14, II, f)</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_Toc534884806 \h </w:instrText>
            </w:r>
            <w:r w:rsidR="008472C0" w:rsidRPr="009B7685">
              <w:rPr>
                <w:noProof/>
                <w:webHidden/>
              </w:rPr>
            </w:r>
            <w:r w:rsidR="008472C0" w:rsidRPr="009B7685">
              <w:rPr>
                <w:noProof/>
                <w:webHidden/>
              </w:rPr>
              <w:fldChar w:fldCharType="separate"/>
            </w:r>
            <w:r w:rsidR="006C34E9">
              <w:rPr>
                <w:noProof/>
                <w:webHidden/>
              </w:rPr>
              <w:t>11</w:t>
            </w:r>
            <w:r w:rsidR="008472C0" w:rsidRPr="009B7685">
              <w:rPr>
                <w:noProof/>
                <w:webHidden/>
              </w:rPr>
              <w:fldChar w:fldCharType="end"/>
            </w:r>
          </w:hyperlink>
        </w:p>
        <w:p w14:paraId="4A8CD45B" w14:textId="77777777" w:rsidR="008472C0" w:rsidRPr="009B7685" w:rsidRDefault="00044427" w:rsidP="008472C0">
          <w:pPr>
            <w:pStyle w:val="Sumrio2"/>
            <w:rPr>
              <w:rFonts w:eastAsiaTheme="minorEastAsia"/>
              <w:smallCaps w:val="0"/>
              <w:noProof/>
              <w:sz w:val="22"/>
              <w:szCs w:val="22"/>
            </w:rPr>
          </w:pPr>
          <w:hyperlink w:anchor="_Toc534884807" w:history="1">
            <w:r w:rsidR="008472C0" w:rsidRPr="009B7685">
              <w:rPr>
                <w:rStyle w:val="Hyperlink"/>
                <w:noProof/>
              </w:rPr>
              <w:t>1.10</w:t>
            </w:r>
            <w:r w:rsidR="008472C0" w:rsidRPr="009B7685">
              <w:rPr>
                <w:rFonts w:eastAsiaTheme="minorEastAsia"/>
                <w:smallCaps w:val="0"/>
                <w:noProof/>
                <w:sz w:val="22"/>
                <w:szCs w:val="22"/>
              </w:rPr>
              <w:tab/>
            </w:r>
            <w:r w:rsidR="008472C0" w:rsidRPr="009B7685">
              <w:rPr>
                <w:rStyle w:val="Hyperlink"/>
                <w:noProof/>
              </w:rPr>
              <w:t>Análise dos Custos Totais da Demanda (Art. 14, III)</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_Toc534884807 \h </w:instrText>
            </w:r>
            <w:r w:rsidR="008472C0" w:rsidRPr="009B7685">
              <w:rPr>
                <w:noProof/>
                <w:webHidden/>
              </w:rPr>
            </w:r>
            <w:r w:rsidR="008472C0" w:rsidRPr="009B7685">
              <w:rPr>
                <w:noProof/>
                <w:webHidden/>
              </w:rPr>
              <w:fldChar w:fldCharType="separate"/>
            </w:r>
            <w:r w:rsidR="006C34E9">
              <w:rPr>
                <w:noProof/>
                <w:webHidden/>
              </w:rPr>
              <w:t>11</w:t>
            </w:r>
            <w:r w:rsidR="008472C0" w:rsidRPr="009B7685">
              <w:rPr>
                <w:noProof/>
                <w:webHidden/>
              </w:rPr>
              <w:fldChar w:fldCharType="end"/>
            </w:r>
          </w:hyperlink>
        </w:p>
        <w:p w14:paraId="17BB8A44" w14:textId="77777777" w:rsidR="008472C0" w:rsidRPr="009B7685" w:rsidRDefault="00044427" w:rsidP="008472C0">
          <w:pPr>
            <w:pStyle w:val="Sumrio2"/>
            <w:rPr>
              <w:rFonts w:eastAsiaTheme="minorEastAsia"/>
              <w:smallCaps w:val="0"/>
              <w:noProof/>
              <w:sz w:val="22"/>
              <w:szCs w:val="22"/>
            </w:rPr>
          </w:pPr>
          <w:hyperlink w:anchor="_Toc534884808" w:history="1">
            <w:r w:rsidR="008472C0" w:rsidRPr="009B7685">
              <w:rPr>
                <w:rStyle w:val="Hyperlink"/>
                <w:noProof/>
              </w:rPr>
              <w:t>1.11</w:t>
            </w:r>
            <w:r w:rsidR="008472C0" w:rsidRPr="009B7685">
              <w:rPr>
                <w:rFonts w:eastAsiaTheme="minorEastAsia"/>
                <w:smallCaps w:val="0"/>
                <w:noProof/>
                <w:sz w:val="22"/>
                <w:szCs w:val="22"/>
              </w:rPr>
              <w:tab/>
            </w:r>
            <w:r w:rsidR="008472C0" w:rsidRPr="009B7685">
              <w:rPr>
                <w:rStyle w:val="Hyperlink"/>
                <w:noProof/>
              </w:rPr>
              <w:t>Escolha e Justificativa da Solução (Art. 14, IV)</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_Toc534884808 \h </w:instrText>
            </w:r>
            <w:r w:rsidR="008472C0" w:rsidRPr="009B7685">
              <w:rPr>
                <w:noProof/>
                <w:webHidden/>
              </w:rPr>
            </w:r>
            <w:r w:rsidR="008472C0" w:rsidRPr="009B7685">
              <w:rPr>
                <w:noProof/>
                <w:webHidden/>
              </w:rPr>
              <w:fldChar w:fldCharType="separate"/>
            </w:r>
            <w:r w:rsidR="006C34E9">
              <w:rPr>
                <w:noProof/>
                <w:webHidden/>
              </w:rPr>
              <w:t>14</w:t>
            </w:r>
            <w:r w:rsidR="008472C0" w:rsidRPr="009B7685">
              <w:rPr>
                <w:noProof/>
                <w:webHidden/>
              </w:rPr>
              <w:fldChar w:fldCharType="end"/>
            </w:r>
          </w:hyperlink>
        </w:p>
        <w:p w14:paraId="10B41910" w14:textId="77777777" w:rsidR="008472C0" w:rsidRPr="009B7685" w:rsidRDefault="00044427" w:rsidP="008472C0">
          <w:pPr>
            <w:pStyle w:val="Sumrio2"/>
            <w:rPr>
              <w:rFonts w:eastAsiaTheme="minorEastAsia"/>
              <w:smallCaps w:val="0"/>
              <w:noProof/>
              <w:sz w:val="22"/>
              <w:szCs w:val="22"/>
            </w:rPr>
          </w:pPr>
          <w:hyperlink w:anchor="_Toc534884809" w:history="1">
            <w:r w:rsidR="008472C0" w:rsidRPr="009B7685">
              <w:rPr>
                <w:rStyle w:val="Hyperlink"/>
                <w:noProof/>
              </w:rPr>
              <w:t>1.12</w:t>
            </w:r>
            <w:r w:rsidR="008472C0" w:rsidRPr="009B7685">
              <w:rPr>
                <w:rFonts w:eastAsiaTheme="minorEastAsia"/>
                <w:smallCaps w:val="0"/>
                <w:noProof/>
                <w:sz w:val="22"/>
                <w:szCs w:val="22"/>
              </w:rPr>
              <w:tab/>
            </w:r>
            <w:r w:rsidR="008472C0" w:rsidRPr="009B7685">
              <w:rPr>
                <w:rStyle w:val="Hyperlink"/>
                <w:noProof/>
              </w:rPr>
              <w:t>Descrição da Solução (Art. 14, IV, a)</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_Toc534884809 \h </w:instrText>
            </w:r>
            <w:r w:rsidR="008472C0" w:rsidRPr="009B7685">
              <w:rPr>
                <w:noProof/>
                <w:webHidden/>
              </w:rPr>
            </w:r>
            <w:r w:rsidR="008472C0" w:rsidRPr="009B7685">
              <w:rPr>
                <w:noProof/>
                <w:webHidden/>
              </w:rPr>
              <w:fldChar w:fldCharType="separate"/>
            </w:r>
            <w:r w:rsidR="006C34E9">
              <w:rPr>
                <w:noProof/>
                <w:webHidden/>
              </w:rPr>
              <w:t>16</w:t>
            </w:r>
            <w:r w:rsidR="008472C0" w:rsidRPr="009B7685">
              <w:rPr>
                <w:noProof/>
                <w:webHidden/>
              </w:rPr>
              <w:fldChar w:fldCharType="end"/>
            </w:r>
          </w:hyperlink>
        </w:p>
        <w:p w14:paraId="683243CA" w14:textId="77777777" w:rsidR="008472C0" w:rsidRPr="009B7685" w:rsidRDefault="00044427" w:rsidP="008472C0">
          <w:pPr>
            <w:pStyle w:val="Sumrio2"/>
            <w:rPr>
              <w:rFonts w:eastAsiaTheme="minorEastAsia"/>
              <w:smallCaps w:val="0"/>
              <w:noProof/>
              <w:sz w:val="22"/>
              <w:szCs w:val="22"/>
            </w:rPr>
          </w:pPr>
          <w:hyperlink w:anchor="_Toc534884810" w:history="1">
            <w:r w:rsidR="008472C0" w:rsidRPr="009B7685">
              <w:rPr>
                <w:rStyle w:val="Hyperlink"/>
                <w:noProof/>
              </w:rPr>
              <w:t>1.13</w:t>
            </w:r>
            <w:r w:rsidR="008472C0" w:rsidRPr="009B7685">
              <w:rPr>
                <w:rFonts w:eastAsiaTheme="minorEastAsia"/>
                <w:smallCaps w:val="0"/>
                <w:noProof/>
                <w:sz w:val="22"/>
                <w:szCs w:val="22"/>
              </w:rPr>
              <w:tab/>
            </w:r>
            <w:r w:rsidR="008472C0" w:rsidRPr="009B7685">
              <w:rPr>
                <w:rStyle w:val="Hyperlink"/>
                <w:noProof/>
              </w:rPr>
              <w:t>Alinhamento da Solução (Art. 14, IV, b)</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_Toc534884810 \h </w:instrText>
            </w:r>
            <w:r w:rsidR="008472C0" w:rsidRPr="009B7685">
              <w:rPr>
                <w:noProof/>
                <w:webHidden/>
              </w:rPr>
            </w:r>
            <w:r w:rsidR="008472C0" w:rsidRPr="009B7685">
              <w:rPr>
                <w:noProof/>
                <w:webHidden/>
              </w:rPr>
              <w:fldChar w:fldCharType="separate"/>
            </w:r>
            <w:r w:rsidR="006C34E9">
              <w:rPr>
                <w:noProof/>
                <w:webHidden/>
              </w:rPr>
              <w:t>19</w:t>
            </w:r>
            <w:r w:rsidR="008472C0" w:rsidRPr="009B7685">
              <w:rPr>
                <w:noProof/>
                <w:webHidden/>
              </w:rPr>
              <w:fldChar w:fldCharType="end"/>
            </w:r>
          </w:hyperlink>
        </w:p>
        <w:p w14:paraId="6B5F9970" w14:textId="77777777" w:rsidR="008472C0" w:rsidRPr="009B7685" w:rsidRDefault="00044427" w:rsidP="008472C0">
          <w:pPr>
            <w:pStyle w:val="Sumrio2"/>
            <w:rPr>
              <w:rFonts w:eastAsiaTheme="minorEastAsia"/>
              <w:smallCaps w:val="0"/>
              <w:noProof/>
              <w:sz w:val="22"/>
              <w:szCs w:val="22"/>
            </w:rPr>
          </w:pPr>
          <w:hyperlink w:anchor="_Toc534884811" w:history="1">
            <w:r w:rsidR="008472C0" w:rsidRPr="009B7685">
              <w:rPr>
                <w:rStyle w:val="Hyperlink"/>
                <w:noProof/>
              </w:rPr>
              <w:t>1.14</w:t>
            </w:r>
            <w:r w:rsidR="008472C0" w:rsidRPr="009B7685">
              <w:rPr>
                <w:rFonts w:eastAsiaTheme="minorEastAsia"/>
                <w:smallCaps w:val="0"/>
                <w:noProof/>
                <w:sz w:val="22"/>
                <w:szCs w:val="22"/>
              </w:rPr>
              <w:tab/>
            </w:r>
            <w:r w:rsidR="008472C0" w:rsidRPr="009B7685">
              <w:rPr>
                <w:rStyle w:val="Hyperlink"/>
                <w:noProof/>
              </w:rPr>
              <w:t>Benefícios Esperados (Art. 14, IV, c)</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_Toc534884811 \h </w:instrText>
            </w:r>
            <w:r w:rsidR="008472C0" w:rsidRPr="009B7685">
              <w:rPr>
                <w:noProof/>
                <w:webHidden/>
              </w:rPr>
            </w:r>
            <w:r w:rsidR="008472C0" w:rsidRPr="009B7685">
              <w:rPr>
                <w:noProof/>
                <w:webHidden/>
              </w:rPr>
              <w:fldChar w:fldCharType="separate"/>
            </w:r>
            <w:r w:rsidR="006C34E9">
              <w:rPr>
                <w:noProof/>
                <w:webHidden/>
              </w:rPr>
              <w:t>19</w:t>
            </w:r>
            <w:r w:rsidR="008472C0" w:rsidRPr="009B7685">
              <w:rPr>
                <w:noProof/>
                <w:webHidden/>
              </w:rPr>
              <w:fldChar w:fldCharType="end"/>
            </w:r>
          </w:hyperlink>
        </w:p>
        <w:p w14:paraId="4D8E3D98" w14:textId="77777777" w:rsidR="008472C0" w:rsidRPr="009B7685" w:rsidRDefault="00044427" w:rsidP="008472C0">
          <w:pPr>
            <w:pStyle w:val="Sumrio2"/>
            <w:rPr>
              <w:rFonts w:eastAsiaTheme="minorEastAsia"/>
              <w:smallCaps w:val="0"/>
              <w:noProof/>
              <w:sz w:val="22"/>
              <w:szCs w:val="22"/>
            </w:rPr>
          </w:pPr>
          <w:hyperlink w:anchor="_Toc534884812" w:history="1">
            <w:r w:rsidR="008472C0" w:rsidRPr="009B7685">
              <w:rPr>
                <w:rStyle w:val="Hyperlink"/>
                <w:noProof/>
              </w:rPr>
              <w:t>1.15</w:t>
            </w:r>
            <w:r w:rsidR="008472C0" w:rsidRPr="009B7685">
              <w:rPr>
                <w:rFonts w:eastAsiaTheme="minorEastAsia"/>
                <w:smallCaps w:val="0"/>
                <w:noProof/>
                <w:sz w:val="22"/>
                <w:szCs w:val="22"/>
              </w:rPr>
              <w:tab/>
            </w:r>
            <w:r w:rsidR="008472C0" w:rsidRPr="009B7685">
              <w:rPr>
                <w:rStyle w:val="Hyperlink"/>
                <w:noProof/>
              </w:rPr>
              <w:t>Relação entre a Demanda Prevista e a Contratada (Art. 14, IV, d)</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_Toc534884812 \h </w:instrText>
            </w:r>
            <w:r w:rsidR="008472C0" w:rsidRPr="009B7685">
              <w:rPr>
                <w:noProof/>
                <w:webHidden/>
              </w:rPr>
            </w:r>
            <w:r w:rsidR="008472C0" w:rsidRPr="009B7685">
              <w:rPr>
                <w:noProof/>
                <w:webHidden/>
              </w:rPr>
              <w:fldChar w:fldCharType="separate"/>
            </w:r>
            <w:r w:rsidR="006C34E9">
              <w:rPr>
                <w:noProof/>
                <w:webHidden/>
              </w:rPr>
              <w:t>19</w:t>
            </w:r>
            <w:r w:rsidR="008472C0" w:rsidRPr="009B7685">
              <w:rPr>
                <w:noProof/>
                <w:webHidden/>
              </w:rPr>
              <w:fldChar w:fldCharType="end"/>
            </w:r>
          </w:hyperlink>
        </w:p>
        <w:p w14:paraId="64DDDD3D" w14:textId="77777777" w:rsidR="008472C0" w:rsidRPr="009B7685" w:rsidRDefault="00044427" w:rsidP="008472C0">
          <w:pPr>
            <w:pStyle w:val="Sumrio2"/>
            <w:rPr>
              <w:rFonts w:eastAsiaTheme="minorEastAsia"/>
              <w:smallCaps w:val="0"/>
              <w:noProof/>
              <w:sz w:val="22"/>
              <w:szCs w:val="22"/>
            </w:rPr>
          </w:pPr>
          <w:hyperlink w:anchor="_Toc534884813" w:history="1">
            <w:r w:rsidR="008472C0" w:rsidRPr="009B7685">
              <w:rPr>
                <w:rStyle w:val="Hyperlink"/>
                <w:noProof/>
              </w:rPr>
              <w:t>1.16</w:t>
            </w:r>
            <w:r w:rsidR="008472C0" w:rsidRPr="009B7685">
              <w:rPr>
                <w:rFonts w:eastAsiaTheme="minorEastAsia"/>
                <w:smallCaps w:val="0"/>
                <w:noProof/>
                <w:sz w:val="22"/>
                <w:szCs w:val="22"/>
              </w:rPr>
              <w:tab/>
            </w:r>
            <w:r w:rsidR="008472C0" w:rsidRPr="009B7685">
              <w:rPr>
                <w:rStyle w:val="Hyperlink"/>
                <w:noProof/>
              </w:rPr>
              <w:t>Requisitos Temporais (Art. 3, V)</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_Toc534884813 \h </w:instrText>
            </w:r>
            <w:r w:rsidR="008472C0" w:rsidRPr="009B7685">
              <w:rPr>
                <w:noProof/>
                <w:webHidden/>
              </w:rPr>
            </w:r>
            <w:r w:rsidR="008472C0" w:rsidRPr="009B7685">
              <w:rPr>
                <w:noProof/>
                <w:webHidden/>
              </w:rPr>
              <w:fldChar w:fldCharType="separate"/>
            </w:r>
            <w:r w:rsidR="006C34E9">
              <w:rPr>
                <w:noProof/>
                <w:webHidden/>
              </w:rPr>
              <w:t>20</w:t>
            </w:r>
            <w:r w:rsidR="008472C0" w:rsidRPr="009B7685">
              <w:rPr>
                <w:noProof/>
                <w:webHidden/>
              </w:rPr>
              <w:fldChar w:fldCharType="end"/>
            </w:r>
          </w:hyperlink>
        </w:p>
        <w:p w14:paraId="2E7D5204" w14:textId="77777777" w:rsidR="008472C0" w:rsidRPr="009B7685" w:rsidRDefault="00044427" w:rsidP="008472C0">
          <w:pPr>
            <w:pStyle w:val="Sumrio2"/>
            <w:rPr>
              <w:rFonts w:eastAsiaTheme="minorEastAsia"/>
              <w:smallCaps w:val="0"/>
              <w:noProof/>
              <w:sz w:val="22"/>
              <w:szCs w:val="22"/>
            </w:rPr>
          </w:pPr>
          <w:hyperlink w:anchor="_Toc534884814" w:history="1">
            <w:r w:rsidR="008472C0" w:rsidRPr="009B7685">
              <w:rPr>
                <w:rStyle w:val="Hyperlink"/>
                <w:noProof/>
              </w:rPr>
              <w:t>1.17</w:t>
            </w:r>
            <w:r w:rsidR="008472C0" w:rsidRPr="009B7685">
              <w:rPr>
                <w:rFonts w:eastAsiaTheme="minorEastAsia"/>
                <w:smallCaps w:val="0"/>
                <w:noProof/>
                <w:sz w:val="22"/>
                <w:szCs w:val="22"/>
              </w:rPr>
              <w:tab/>
            </w:r>
            <w:r w:rsidR="008472C0" w:rsidRPr="009B7685">
              <w:rPr>
                <w:rStyle w:val="Hyperlink"/>
                <w:noProof/>
              </w:rPr>
              <w:t>Adequação do Ambiente (Art. 14, V, a, b, c, d, e, f)</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_Toc534884814 \h </w:instrText>
            </w:r>
            <w:r w:rsidR="008472C0" w:rsidRPr="009B7685">
              <w:rPr>
                <w:noProof/>
                <w:webHidden/>
              </w:rPr>
            </w:r>
            <w:r w:rsidR="008472C0" w:rsidRPr="009B7685">
              <w:rPr>
                <w:noProof/>
                <w:webHidden/>
              </w:rPr>
              <w:fldChar w:fldCharType="separate"/>
            </w:r>
            <w:r w:rsidR="006C34E9">
              <w:rPr>
                <w:noProof/>
                <w:webHidden/>
              </w:rPr>
              <w:t>20</w:t>
            </w:r>
            <w:r w:rsidR="008472C0" w:rsidRPr="009B7685">
              <w:rPr>
                <w:noProof/>
                <w:webHidden/>
              </w:rPr>
              <w:fldChar w:fldCharType="end"/>
            </w:r>
          </w:hyperlink>
        </w:p>
        <w:p w14:paraId="18C029AA" w14:textId="77777777" w:rsidR="008472C0" w:rsidRPr="009B7685" w:rsidRDefault="00044427" w:rsidP="008472C0">
          <w:pPr>
            <w:pStyle w:val="Sumrio2"/>
            <w:rPr>
              <w:rFonts w:eastAsiaTheme="minorEastAsia"/>
              <w:smallCaps w:val="0"/>
              <w:noProof/>
              <w:sz w:val="22"/>
              <w:szCs w:val="22"/>
            </w:rPr>
          </w:pPr>
          <w:hyperlink w:anchor="_Toc534884815" w:history="1">
            <w:r w:rsidR="008472C0" w:rsidRPr="009B7685">
              <w:rPr>
                <w:rStyle w:val="Hyperlink"/>
                <w:noProof/>
              </w:rPr>
              <w:t>1.18</w:t>
            </w:r>
            <w:r w:rsidR="008472C0" w:rsidRPr="009B7685">
              <w:rPr>
                <w:rFonts w:eastAsiaTheme="minorEastAsia"/>
                <w:smallCaps w:val="0"/>
                <w:noProof/>
                <w:sz w:val="22"/>
                <w:szCs w:val="22"/>
              </w:rPr>
              <w:tab/>
            </w:r>
            <w:r w:rsidR="008472C0" w:rsidRPr="009B7685">
              <w:rPr>
                <w:rStyle w:val="Hyperlink"/>
                <w:noProof/>
              </w:rPr>
              <w:t>Orçamento Estimado (Art. 14, II, g)</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_Toc534884815 \h </w:instrText>
            </w:r>
            <w:r w:rsidR="008472C0" w:rsidRPr="009B7685">
              <w:rPr>
                <w:noProof/>
                <w:webHidden/>
              </w:rPr>
            </w:r>
            <w:r w:rsidR="008472C0" w:rsidRPr="009B7685">
              <w:rPr>
                <w:noProof/>
                <w:webHidden/>
              </w:rPr>
              <w:fldChar w:fldCharType="separate"/>
            </w:r>
            <w:r w:rsidR="006C34E9">
              <w:rPr>
                <w:noProof/>
                <w:webHidden/>
              </w:rPr>
              <w:t>20</w:t>
            </w:r>
            <w:r w:rsidR="008472C0" w:rsidRPr="009B7685">
              <w:rPr>
                <w:noProof/>
                <w:webHidden/>
              </w:rPr>
              <w:fldChar w:fldCharType="end"/>
            </w:r>
          </w:hyperlink>
        </w:p>
        <w:p w14:paraId="1F0B19CE" w14:textId="77777777" w:rsidR="008472C0" w:rsidRPr="009B7685" w:rsidRDefault="00044427" w:rsidP="008472C0">
          <w:pPr>
            <w:pStyle w:val="Sumrio1"/>
            <w:rPr>
              <w:rFonts w:eastAsiaTheme="minorEastAsia"/>
              <w:b w:val="0"/>
              <w:bCs w:val="0"/>
              <w:caps w:val="0"/>
              <w:noProof/>
              <w:sz w:val="22"/>
              <w:szCs w:val="22"/>
            </w:rPr>
          </w:pPr>
          <w:hyperlink w:anchor="_Toc534884816" w:history="1">
            <w:r w:rsidR="008472C0" w:rsidRPr="009B7685">
              <w:rPr>
                <w:rStyle w:val="Hyperlink"/>
                <w:noProof/>
              </w:rPr>
              <w:t>2</w:t>
            </w:r>
            <w:r w:rsidR="008472C0" w:rsidRPr="009B7685">
              <w:rPr>
                <w:rFonts w:eastAsiaTheme="minorEastAsia"/>
                <w:b w:val="0"/>
                <w:bCs w:val="0"/>
                <w:caps w:val="0"/>
                <w:noProof/>
                <w:sz w:val="22"/>
                <w:szCs w:val="22"/>
              </w:rPr>
              <w:tab/>
            </w:r>
            <w:r w:rsidR="008472C0" w:rsidRPr="009B7685">
              <w:rPr>
                <w:rStyle w:val="Hyperlink"/>
                <w:noProof/>
              </w:rPr>
              <w:t>SUSTENTAÇÃO DO CONTRATO (Art. 15)</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_Toc534884816 \h </w:instrText>
            </w:r>
            <w:r w:rsidR="008472C0" w:rsidRPr="009B7685">
              <w:rPr>
                <w:noProof/>
                <w:webHidden/>
              </w:rPr>
            </w:r>
            <w:r w:rsidR="008472C0" w:rsidRPr="009B7685">
              <w:rPr>
                <w:noProof/>
                <w:webHidden/>
              </w:rPr>
              <w:fldChar w:fldCharType="separate"/>
            </w:r>
            <w:r w:rsidR="006C34E9">
              <w:rPr>
                <w:noProof/>
                <w:webHidden/>
              </w:rPr>
              <w:t>21</w:t>
            </w:r>
            <w:r w:rsidR="008472C0" w:rsidRPr="009B7685">
              <w:rPr>
                <w:noProof/>
                <w:webHidden/>
              </w:rPr>
              <w:fldChar w:fldCharType="end"/>
            </w:r>
          </w:hyperlink>
        </w:p>
        <w:p w14:paraId="07E9AC69" w14:textId="77777777" w:rsidR="008472C0" w:rsidRPr="009B7685" w:rsidRDefault="00044427" w:rsidP="008472C0">
          <w:pPr>
            <w:pStyle w:val="Sumrio2"/>
            <w:rPr>
              <w:rFonts w:eastAsiaTheme="minorEastAsia"/>
              <w:smallCaps w:val="0"/>
              <w:noProof/>
              <w:sz w:val="22"/>
              <w:szCs w:val="22"/>
            </w:rPr>
          </w:pPr>
          <w:hyperlink w:anchor="_Toc534884817" w:history="1">
            <w:r w:rsidR="008472C0" w:rsidRPr="009B7685">
              <w:rPr>
                <w:rStyle w:val="Hyperlink"/>
                <w:noProof/>
              </w:rPr>
              <w:t>2.1</w:t>
            </w:r>
            <w:r w:rsidR="008472C0" w:rsidRPr="009B7685">
              <w:rPr>
                <w:rFonts w:eastAsiaTheme="minorEastAsia"/>
                <w:smallCaps w:val="0"/>
                <w:noProof/>
                <w:sz w:val="22"/>
                <w:szCs w:val="22"/>
              </w:rPr>
              <w:tab/>
            </w:r>
            <w:r w:rsidR="008472C0" w:rsidRPr="009B7685">
              <w:rPr>
                <w:rStyle w:val="Hyperlink"/>
                <w:noProof/>
              </w:rPr>
              <w:t>Recursos Materiais e Humanos (Art. 15, I)</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_Toc534884817 \h </w:instrText>
            </w:r>
            <w:r w:rsidR="008472C0" w:rsidRPr="009B7685">
              <w:rPr>
                <w:noProof/>
                <w:webHidden/>
              </w:rPr>
            </w:r>
            <w:r w:rsidR="008472C0" w:rsidRPr="009B7685">
              <w:rPr>
                <w:noProof/>
                <w:webHidden/>
              </w:rPr>
              <w:fldChar w:fldCharType="separate"/>
            </w:r>
            <w:r w:rsidR="006C34E9">
              <w:rPr>
                <w:noProof/>
                <w:webHidden/>
              </w:rPr>
              <w:t>21</w:t>
            </w:r>
            <w:r w:rsidR="008472C0" w:rsidRPr="009B7685">
              <w:rPr>
                <w:noProof/>
                <w:webHidden/>
              </w:rPr>
              <w:fldChar w:fldCharType="end"/>
            </w:r>
          </w:hyperlink>
        </w:p>
        <w:p w14:paraId="2A87F0F1" w14:textId="77777777" w:rsidR="008472C0" w:rsidRPr="009B7685" w:rsidRDefault="00044427" w:rsidP="008472C0">
          <w:pPr>
            <w:pStyle w:val="Sumrio2"/>
            <w:rPr>
              <w:rFonts w:eastAsiaTheme="minorEastAsia"/>
              <w:smallCaps w:val="0"/>
              <w:noProof/>
              <w:sz w:val="22"/>
              <w:szCs w:val="22"/>
            </w:rPr>
          </w:pPr>
          <w:hyperlink w:anchor="_Toc534884818" w:history="1">
            <w:r w:rsidR="008472C0" w:rsidRPr="009B7685">
              <w:rPr>
                <w:rStyle w:val="Hyperlink"/>
                <w:noProof/>
              </w:rPr>
              <w:t>2.2</w:t>
            </w:r>
            <w:r w:rsidR="008472C0" w:rsidRPr="009B7685">
              <w:rPr>
                <w:rFonts w:eastAsiaTheme="minorEastAsia"/>
                <w:smallCaps w:val="0"/>
                <w:noProof/>
                <w:sz w:val="22"/>
                <w:szCs w:val="22"/>
              </w:rPr>
              <w:tab/>
            </w:r>
            <w:r w:rsidR="008472C0" w:rsidRPr="009B7685">
              <w:rPr>
                <w:rStyle w:val="Hyperlink"/>
                <w:noProof/>
              </w:rPr>
              <w:t>Qualificação técnica dos profissionais</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_Toc534884818 \h </w:instrText>
            </w:r>
            <w:r w:rsidR="008472C0" w:rsidRPr="009B7685">
              <w:rPr>
                <w:noProof/>
                <w:webHidden/>
              </w:rPr>
            </w:r>
            <w:r w:rsidR="008472C0" w:rsidRPr="009B7685">
              <w:rPr>
                <w:noProof/>
                <w:webHidden/>
              </w:rPr>
              <w:fldChar w:fldCharType="separate"/>
            </w:r>
            <w:r w:rsidR="006C34E9">
              <w:rPr>
                <w:noProof/>
                <w:webHidden/>
              </w:rPr>
              <w:t>21</w:t>
            </w:r>
            <w:r w:rsidR="008472C0" w:rsidRPr="009B7685">
              <w:rPr>
                <w:noProof/>
                <w:webHidden/>
              </w:rPr>
              <w:fldChar w:fldCharType="end"/>
            </w:r>
          </w:hyperlink>
        </w:p>
        <w:p w14:paraId="3C331B41" w14:textId="77777777" w:rsidR="008472C0" w:rsidRPr="009B7685" w:rsidRDefault="00044427" w:rsidP="008472C0">
          <w:pPr>
            <w:pStyle w:val="Sumrio2"/>
            <w:rPr>
              <w:rFonts w:eastAsiaTheme="minorEastAsia"/>
              <w:smallCaps w:val="0"/>
              <w:noProof/>
              <w:sz w:val="22"/>
              <w:szCs w:val="22"/>
            </w:rPr>
          </w:pPr>
          <w:hyperlink w:anchor="_Toc534884819" w:history="1">
            <w:r w:rsidR="008472C0" w:rsidRPr="009B7685">
              <w:rPr>
                <w:rStyle w:val="Hyperlink"/>
                <w:noProof/>
              </w:rPr>
              <w:t>2.3</w:t>
            </w:r>
            <w:r w:rsidR="008472C0" w:rsidRPr="009B7685">
              <w:rPr>
                <w:rFonts w:eastAsiaTheme="minorEastAsia"/>
                <w:smallCaps w:val="0"/>
                <w:noProof/>
                <w:sz w:val="22"/>
                <w:szCs w:val="22"/>
              </w:rPr>
              <w:tab/>
            </w:r>
            <w:r w:rsidR="008472C0" w:rsidRPr="009B7685">
              <w:rPr>
                <w:rStyle w:val="Hyperlink"/>
                <w:noProof/>
              </w:rPr>
              <w:t>Descontinuidade do Fornecimento (Art. 15, II)</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_Toc534884819 \h </w:instrText>
            </w:r>
            <w:r w:rsidR="008472C0" w:rsidRPr="009B7685">
              <w:rPr>
                <w:noProof/>
                <w:webHidden/>
              </w:rPr>
            </w:r>
            <w:r w:rsidR="008472C0" w:rsidRPr="009B7685">
              <w:rPr>
                <w:noProof/>
                <w:webHidden/>
              </w:rPr>
              <w:fldChar w:fldCharType="separate"/>
            </w:r>
            <w:r w:rsidR="006C34E9">
              <w:rPr>
                <w:noProof/>
                <w:webHidden/>
              </w:rPr>
              <w:t>21</w:t>
            </w:r>
            <w:r w:rsidR="008472C0" w:rsidRPr="009B7685">
              <w:rPr>
                <w:noProof/>
                <w:webHidden/>
              </w:rPr>
              <w:fldChar w:fldCharType="end"/>
            </w:r>
          </w:hyperlink>
        </w:p>
        <w:p w14:paraId="0FA94DF4" w14:textId="77777777" w:rsidR="008472C0" w:rsidRPr="009B7685" w:rsidRDefault="00044427" w:rsidP="008472C0">
          <w:pPr>
            <w:pStyle w:val="Sumrio2"/>
            <w:rPr>
              <w:rFonts w:eastAsiaTheme="minorEastAsia"/>
              <w:smallCaps w:val="0"/>
              <w:noProof/>
              <w:sz w:val="22"/>
              <w:szCs w:val="22"/>
            </w:rPr>
          </w:pPr>
          <w:hyperlink w:anchor="_Toc534884820" w:history="1">
            <w:r w:rsidR="008472C0" w:rsidRPr="009B7685">
              <w:rPr>
                <w:rStyle w:val="Hyperlink"/>
                <w:noProof/>
              </w:rPr>
              <w:t>2.4</w:t>
            </w:r>
            <w:r w:rsidR="008472C0" w:rsidRPr="009B7685">
              <w:rPr>
                <w:rFonts w:eastAsiaTheme="minorEastAsia"/>
                <w:smallCaps w:val="0"/>
                <w:noProof/>
                <w:sz w:val="22"/>
                <w:szCs w:val="22"/>
              </w:rPr>
              <w:tab/>
            </w:r>
            <w:r w:rsidR="008472C0" w:rsidRPr="009B7685">
              <w:rPr>
                <w:rStyle w:val="Hyperlink"/>
                <w:noProof/>
              </w:rPr>
              <w:t>Transição Contratual (Art. 15, III, a, b, c, d, e)</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_Toc534884820 \h </w:instrText>
            </w:r>
            <w:r w:rsidR="008472C0" w:rsidRPr="009B7685">
              <w:rPr>
                <w:noProof/>
                <w:webHidden/>
              </w:rPr>
            </w:r>
            <w:r w:rsidR="008472C0" w:rsidRPr="009B7685">
              <w:rPr>
                <w:noProof/>
                <w:webHidden/>
              </w:rPr>
              <w:fldChar w:fldCharType="separate"/>
            </w:r>
            <w:r w:rsidR="006C34E9">
              <w:rPr>
                <w:noProof/>
                <w:webHidden/>
              </w:rPr>
              <w:t>21</w:t>
            </w:r>
            <w:r w:rsidR="008472C0" w:rsidRPr="009B7685">
              <w:rPr>
                <w:noProof/>
                <w:webHidden/>
              </w:rPr>
              <w:fldChar w:fldCharType="end"/>
            </w:r>
          </w:hyperlink>
        </w:p>
        <w:p w14:paraId="6D204C19" w14:textId="77777777" w:rsidR="008472C0" w:rsidRPr="009B7685" w:rsidRDefault="00044427" w:rsidP="008472C0">
          <w:pPr>
            <w:pStyle w:val="Sumrio2"/>
            <w:rPr>
              <w:rFonts w:eastAsiaTheme="minorEastAsia"/>
              <w:smallCaps w:val="0"/>
              <w:noProof/>
              <w:sz w:val="22"/>
              <w:szCs w:val="22"/>
            </w:rPr>
          </w:pPr>
          <w:hyperlink w:anchor="_Toc534884821" w:history="1">
            <w:r w:rsidR="008472C0" w:rsidRPr="009B7685">
              <w:rPr>
                <w:rStyle w:val="Hyperlink"/>
                <w:noProof/>
              </w:rPr>
              <w:t>2.5</w:t>
            </w:r>
            <w:r w:rsidR="008472C0" w:rsidRPr="009B7685">
              <w:rPr>
                <w:rFonts w:eastAsiaTheme="minorEastAsia"/>
                <w:smallCaps w:val="0"/>
                <w:noProof/>
                <w:sz w:val="22"/>
                <w:szCs w:val="22"/>
              </w:rPr>
              <w:tab/>
            </w:r>
            <w:r w:rsidR="008472C0" w:rsidRPr="009B7685">
              <w:rPr>
                <w:rStyle w:val="Hyperlink"/>
                <w:noProof/>
              </w:rPr>
              <w:t>Estratégia de Independência Tecnológica (Art. 15, IV, a, b)</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_Toc534884821 \h </w:instrText>
            </w:r>
            <w:r w:rsidR="008472C0" w:rsidRPr="009B7685">
              <w:rPr>
                <w:noProof/>
                <w:webHidden/>
              </w:rPr>
            </w:r>
            <w:r w:rsidR="008472C0" w:rsidRPr="009B7685">
              <w:rPr>
                <w:noProof/>
                <w:webHidden/>
              </w:rPr>
              <w:fldChar w:fldCharType="separate"/>
            </w:r>
            <w:r w:rsidR="006C34E9">
              <w:rPr>
                <w:noProof/>
                <w:webHidden/>
              </w:rPr>
              <w:t>21</w:t>
            </w:r>
            <w:r w:rsidR="008472C0" w:rsidRPr="009B7685">
              <w:rPr>
                <w:noProof/>
                <w:webHidden/>
              </w:rPr>
              <w:fldChar w:fldCharType="end"/>
            </w:r>
          </w:hyperlink>
        </w:p>
        <w:p w14:paraId="0B145FB5" w14:textId="77777777" w:rsidR="008472C0" w:rsidRPr="009B7685" w:rsidRDefault="00044427" w:rsidP="008472C0">
          <w:pPr>
            <w:pStyle w:val="Sumrio2"/>
            <w:rPr>
              <w:rFonts w:eastAsiaTheme="minorEastAsia"/>
              <w:smallCaps w:val="0"/>
              <w:noProof/>
              <w:sz w:val="22"/>
              <w:szCs w:val="22"/>
            </w:rPr>
          </w:pPr>
          <w:hyperlink w:anchor="_Toc534884822" w:history="1">
            <w:r w:rsidR="008472C0" w:rsidRPr="009B7685">
              <w:rPr>
                <w:rStyle w:val="Hyperlink"/>
                <w:noProof/>
              </w:rPr>
              <w:t>2.6</w:t>
            </w:r>
            <w:r w:rsidR="008472C0" w:rsidRPr="009B7685">
              <w:rPr>
                <w:rFonts w:eastAsiaTheme="minorEastAsia"/>
                <w:smallCaps w:val="0"/>
                <w:noProof/>
                <w:sz w:val="22"/>
                <w:szCs w:val="22"/>
              </w:rPr>
              <w:tab/>
            </w:r>
            <w:r w:rsidR="008472C0" w:rsidRPr="009B7685">
              <w:rPr>
                <w:rStyle w:val="Hyperlink"/>
                <w:noProof/>
              </w:rPr>
              <w:t>Direitos de Propriedade Intelectual e Autorais</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_Toc534884822 \h </w:instrText>
            </w:r>
            <w:r w:rsidR="008472C0" w:rsidRPr="009B7685">
              <w:rPr>
                <w:noProof/>
                <w:webHidden/>
              </w:rPr>
            </w:r>
            <w:r w:rsidR="008472C0" w:rsidRPr="009B7685">
              <w:rPr>
                <w:noProof/>
                <w:webHidden/>
              </w:rPr>
              <w:fldChar w:fldCharType="separate"/>
            </w:r>
            <w:r w:rsidR="006C34E9">
              <w:rPr>
                <w:noProof/>
                <w:webHidden/>
              </w:rPr>
              <w:t>22</w:t>
            </w:r>
            <w:r w:rsidR="008472C0" w:rsidRPr="009B7685">
              <w:rPr>
                <w:noProof/>
                <w:webHidden/>
              </w:rPr>
              <w:fldChar w:fldCharType="end"/>
            </w:r>
          </w:hyperlink>
        </w:p>
        <w:p w14:paraId="27A869B6" w14:textId="77777777" w:rsidR="008472C0" w:rsidRPr="009B7685" w:rsidRDefault="00044427" w:rsidP="008472C0">
          <w:pPr>
            <w:pStyle w:val="Sumrio1"/>
            <w:rPr>
              <w:rFonts w:eastAsiaTheme="minorEastAsia"/>
              <w:b w:val="0"/>
              <w:bCs w:val="0"/>
              <w:caps w:val="0"/>
              <w:noProof/>
              <w:sz w:val="22"/>
              <w:szCs w:val="22"/>
            </w:rPr>
          </w:pPr>
          <w:hyperlink w:anchor="_Toc534884823" w:history="1">
            <w:r w:rsidR="008472C0" w:rsidRPr="009B7685">
              <w:rPr>
                <w:rStyle w:val="Hyperlink"/>
                <w:noProof/>
              </w:rPr>
              <w:t>3</w:t>
            </w:r>
            <w:r w:rsidR="008472C0" w:rsidRPr="009B7685">
              <w:rPr>
                <w:rFonts w:eastAsiaTheme="minorEastAsia"/>
                <w:b w:val="0"/>
                <w:bCs w:val="0"/>
                <w:caps w:val="0"/>
                <w:noProof/>
                <w:sz w:val="22"/>
                <w:szCs w:val="22"/>
              </w:rPr>
              <w:tab/>
            </w:r>
            <w:r w:rsidR="008472C0" w:rsidRPr="009B7685">
              <w:rPr>
                <w:rStyle w:val="Hyperlink"/>
                <w:noProof/>
              </w:rPr>
              <w:t>ESTRATÉGIA PARA A CONTRATAÇÃO (Art. 16)</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_Toc534884823 \h </w:instrText>
            </w:r>
            <w:r w:rsidR="008472C0" w:rsidRPr="009B7685">
              <w:rPr>
                <w:noProof/>
                <w:webHidden/>
              </w:rPr>
            </w:r>
            <w:r w:rsidR="008472C0" w:rsidRPr="009B7685">
              <w:rPr>
                <w:noProof/>
                <w:webHidden/>
              </w:rPr>
              <w:fldChar w:fldCharType="separate"/>
            </w:r>
            <w:r w:rsidR="006C34E9">
              <w:rPr>
                <w:noProof/>
                <w:webHidden/>
              </w:rPr>
              <w:t>22</w:t>
            </w:r>
            <w:r w:rsidR="008472C0" w:rsidRPr="009B7685">
              <w:rPr>
                <w:noProof/>
                <w:webHidden/>
              </w:rPr>
              <w:fldChar w:fldCharType="end"/>
            </w:r>
          </w:hyperlink>
        </w:p>
        <w:p w14:paraId="02EC457C" w14:textId="77777777" w:rsidR="008472C0" w:rsidRPr="009B7685" w:rsidRDefault="00044427" w:rsidP="008472C0">
          <w:pPr>
            <w:pStyle w:val="Sumrio2"/>
            <w:rPr>
              <w:rFonts w:eastAsiaTheme="minorEastAsia"/>
              <w:smallCaps w:val="0"/>
              <w:noProof/>
              <w:sz w:val="22"/>
              <w:szCs w:val="22"/>
            </w:rPr>
          </w:pPr>
          <w:hyperlink w:anchor="_Toc534884824" w:history="1">
            <w:r w:rsidR="008472C0" w:rsidRPr="009B7685">
              <w:rPr>
                <w:rStyle w:val="Hyperlink"/>
                <w:noProof/>
              </w:rPr>
              <w:t>3.1</w:t>
            </w:r>
            <w:r w:rsidR="008472C0" w:rsidRPr="009B7685">
              <w:rPr>
                <w:rFonts w:eastAsiaTheme="minorEastAsia"/>
                <w:smallCaps w:val="0"/>
                <w:noProof/>
                <w:sz w:val="22"/>
                <w:szCs w:val="22"/>
              </w:rPr>
              <w:tab/>
            </w:r>
            <w:r w:rsidR="008472C0" w:rsidRPr="009B7685">
              <w:rPr>
                <w:rStyle w:val="Hyperlink"/>
                <w:noProof/>
              </w:rPr>
              <w:t>Natureza do Objeto (Art. 16, I)</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_Toc534884824 \h </w:instrText>
            </w:r>
            <w:r w:rsidR="008472C0" w:rsidRPr="009B7685">
              <w:rPr>
                <w:noProof/>
                <w:webHidden/>
              </w:rPr>
            </w:r>
            <w:r w:rsidR="008472C0" w:rsidRPr="009B7685">
              <w:rPr>
                <w:noProof/>
                <w:webHidden/>
              </w:rPr>
              <w:fldChar w:fldCharType="separate"/>
            </w:r>
            <w:r w:rsidR="006C34E9">
              <w:rPr>
                <w:noProof/>
                <w:webHidden/>
              </w:rPr>
              <w:t>22</w:t>
            </w:r>
            <w:r w:rsidR="008472C0" w:rsidRPr="009B7685">
              <w:rPr>
                <w:noProof/>
                <w:webHidden/>
              </w:rPr>
              <w:fldChar w:fldCharType="end"/>
            </w:r>
          </w:hyperlink>
        </w:p>
        <w:p w14:paraId="3D325BC5" w14:textId="77777777" w:rsidR="008472C0" w:rsidRPr="009B7685" w:rsidRDefault="00044427" w:rsidP="008472C0">
          <w:pPr>
            <w:pStyle w:val="Sumrio2"/>
            <w:rPr>
              <w:rFonts w:eastAsiaTheme="minorEastAsia"/>
              <w:smallCaps w:val="0"/>
              <w:noProof/>
              <w:sz w:val="22"/>
              <w:szCs w:val="22"/>
            </w:rPr>
          </w:pPr>
          <w:hyperlink w:anchor="_Toc534884825" w:history="1">
            <w:r w:rsidR="008472C0" w:rsidRPr="009B7685">
              <w:rPr>
                <w:rStyle w:val="Hyperlink"/>
                <w:noProof/>
              </w:rPr>
              <w:t>3.2</w:t>
            </w:r>
            <w:r w:rsidR="008472C0" w:rsidRPr="009B7685">
              <w:rPr>
                <w:rFonts w:eastAsiaTheme="minorEastAsia"/>
                <w:smallCaps w:val="0"/>
                <w:noProof/>
                <w:sz w:val="22"/>
                <w:szCs w:val="22"/>
              </w:rPr>
              <w:tab/>
            </w:r>
            <w:r w:rsidR="008472C0" w:rsidRPr="009B7685">
              <w:rPr>
                <w:rStyle w:val="Hyperlink"/>
                <w:noProof/>
              </w:rPr>
              <w:t>Parcelamento do Objeto (Art. 16, II)</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_Toc534884825 \h </w:instrText>
            </w:r>
            <w:r w:rsidR="008472C0" w:rsidRPr="009B7685">
              <w:rPr>
                <w:noProof/>
                <w:webHidden/>
              </w:rPr>
            </w:r>
            <w:r w:rsidR="008472C0" w:rsidRPr="009B7685">
              <w:rPr>
                <w:noProof/>
                <w:webHidden/>
              </w:rPr>
              <w:fldChar w:fldCharType="separate"/>
            </w:r>
            <w:r w:rsidR="006C34E9">
              <w:rPr>
                <w:noProof/>
                <w:webHidden/>
              </w:rPr>
              <w:t>22</w:t>
            </w:r>
            <w:r w:rsidR="008472C0" w:rsidRPr="009B7685">
              <w:rPr>
                <w:noProof/>
                <w:webHidden/>
              </w:rPr>
              <w:fldChar w:fldCharType="end"/>
            </w:r>
          </w:hyperlink>
        </w:p>
        <w:p w14:paraId="4FF77779" w14:textId="77777777" w:rsidR="008472C0" w:rsidRPr="009B7685" w:rsidRDefault="00044427" w:rsidP="008472C0">
          <w:pPr>
            <w:pStyle w:val="Sumrio2"/>
            <w:rPr>
              <w:rFonts w:eastAsiaTheme="minorEastAsia"/>
              <w:smallCaps w:val="0"/>
              <w:noProof/>
              <w:sz w:val="22"/>
              <w:szCs w:val="22"/>
            </w:rPr>
          </w:pPr>
          <w:hyperlink w:anchor="_Toc534884826" w:history="1">
            <w:r w:rsidR="008472C0" w:rsidRPr="009B7685">
              <w:rPr>
                <w:rStyle w:val="Hyperlink"/>
                <w:noProof/>
              </w:rPr>
              <w:t>3.3</w:t>
            </w:r>
            <w:r w:rsidR="008472C0" w:rsidRPr="009B7685">
              <w:rPr>
                <w:rFonts w:eastAsiaTheme="minorEastAsia"/>
                <w:smallCaps w:val="0"/>
                <w:noProof/>
                <w:sz w:val="22"/>
                <w:szCs w:val="22"/>
              </w:rPr>
              <w:tab/>
            </w:r>
            <w:r w:rsidR="008472C0" w:rsidRPr="009B7685">
              <w:rPr>
                <w:rStyle w:val="Hyperlink"/>
                <w:noProof/>
              </w:rPr>
              <w:t>Da amostra:</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_Toc534884826 \h </w:instrText>
            </w:r>
            <w:r w:rsidR="008472C0" w:rsidRPr="009B7685">
              <w:rPr>
                <w:noProof/>
                <w:webHidden/>
              </w:rPr>
            </w:r>
            <w:r w:rsidR="008472C0" w:rsidRPr="009B7685">
              <w:rPr>
                <w:noProof/>
                <w:webHidden/>
              </w:rPr>
              <w:fldChar w:fldCharType="separate"/>
            </w:r>
            <w:r w:rsidR="006C34E9">
              <w:rPr>
                <w:noProof/>
                <w:webHidden/>
              </w:rPr>
              <w:t>24</w:t>
            </w:r>
            <w:r w:rsidR="008472C0" w:rsidRPr="009B7685">
              <w:rPr>
                <w:noProof/>
                <w:webHidden/>
              </w:rPr>
              <w:fldChar w:fldCharType="end"/>
            </w:r>
          </w:hyperlink>
        </w:p>
        <w:p w14:paraId="63AF44CE" w14:textId="77777777" w:rsidR="008472C0" w:rsidRPr="009B7685" w:rsidRDefault="00044427" w:rsidP="008472C0">
          <w:pPr>
            <w:pStyle w:val="Sumrio2"/>
            <w:rPr>
              <w:rFonts w:eastAsiaTheme="minorEastAsia"/>
              <w:smallCaps w:val="0"/>
              <w:noProof/>
              <w:sz w:val="22"/>
              <w:szCs w:val="22"/>
            </w:rPr>
          </w:pPr>
          <w:hyperlink w:anchor="_Toc534884827" w:history="1">
            <w:r w:rsidR="008472C0" w:rsidRPr="009B7685">
              <w:rPr>
                <w:rStyle w:val="Hyperlink"/>
                <w:noProof/>
              </w:rPr>
              <w:t>3.4</w:t>
            </w:r>
            <w:r w:rsidR="008472C0" w:rsidRPr="009B7685">
              <w:rPr>
                <w:rFonts w:eastAsiaTheme="minorEastAsia"/>
                <w:smallCaps w:val="0"/>
                <w:noProof/>
                <w:sz w:val="22"/>
                <w:szCs w:val="22"/>
              </w:rPr>
              <w:tab/>
            </w:r>
            <w:r w:rsidR="008472C0" w:rsidRPr="009B7685">
              <w:rPr>
                <w:rStyle w:val="Hyperlink"/>
                <w:noProof/>
              </w:rPr>
              <w:t>Modalidade e Tipo de Licitação (Art. 16, IV)</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_Toc534884827 \h </w:instrText>
            </w:r>
            <w:r w:rsidR="008472C0" w:rsidRPr="009B7685">
              <w:rPr>
                <w:noProof/>
                <w:webHidden/>
              </w:rPr>
            </w:r>
            <w:r w:rsidR="008472C0" w:rsidRPr="009B7685">
              <w:rPr>
                <w:noProof/>
                <w:webHidden/>
              </w:rPr>
              <w:fldChar w:fldCharType="separate"/>
            </w:r>
            <w:r w:rsidR="006C34E9">
              <w:rPr>
                <w:noProof/>
                <w:webHidden/>
              </w:rPr>
              <w:t>25</w:t>
            </w:r>
            <w:r w:rsidR="008472C0" w:rsidRPr="009B7685">
              <w:rPr>
                <w:noProof/>
                <w:webHidden/>
              </w:rPr>
              <w:fldChar w:fldCharType="end"/>
            </w:r>
          </w:hyperlink>
        </w:p>
        <w:p w14:paraId="55EF8999" w14:textId="77777777" w:rsidR="008472C0" w:rsidRPr="009B7685" w:rsidRDefault="00044427" w:rsidP="008472C0">
          <w:pPr>
            <w:pStyle w:val="Sumrio3"/>
            <w:tabs>
              <w:tab w:val="left" w:pos="1100"/>
              <w:tab w:val="right" w:leader="dot" w:pos="8494"/>
            </w:tabs>
            <w:rPr>
              <w:rFonts w:eastAsiaTheme="minorEastAsia"/>
              <w:i w:val="0"/>
              <w:iCs w:val="0"/>
              <w:noProof/>
              <w:sz w:val="22"/>
              <w:szCs w:val="22"/>
            </w:rPr>
          </w:pPr>
          <w:hyperlink w:anchor="_Toc534884828" w:history="1">
            <w:r w:rsidR="008472C0" w:rsidRPr="009B7685">
              <w:rPr>
                <w:rStyle w:val="Hyperlink"/>
                <w:noProof/>
              </w:rPr>
              <w:t>3.4.1</w:t>
            </w:r>
            <w:r w:rsidR="008472C0" w:rsidRPr="009B7685">
              <w:rPr>
                <w:rFonts w:eastAsiaTheme="minorEastAsia"/>
                <w:i w:val="0"/>
                <w:iCs w:val="0"/>
                <w:noProof/>
                <w:sz w:val="22"/>
                <w:szCs w:val="22"/>
              </w:rPr>
              <w:tab/>
            </w:r>
            <w:r w:rsidR="008472C0" w:rsidRPr="009B7685">
              <w:rPr>
                <w:rStyle w:val="Hyperlink"/>
                <w:noProof/>
              </w:rPr>
              <w:t>Modalidade, Tipo de Licitação (Art. 18, § 3º, II, j, Resolução 182/2013-CNJ)</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_Toc534884828 \h </w:instrText>
            </w:r>
            <w:r w:rsidR="008472C0" w:rsidRPr="009B7685">
              <w:rPr>
                <w:noProof/>
                <w:webHidden/>
              </w:rPr>
            </w:r>
            <w:r w:rsidR="008472C0" w:rsidRPr="009B7685">
              <w:rPr>
                <w:noProof/>
                <w:webHidden/>
              </w:rPr>
              <w:fldChar w:fldCharType="separate"/>
            </w:r>
            <w:r w:rsidR="006C34E9">
              <w:rPr>
                <w:noProof/>
                <w:webHidden/>
              </w:rPr>
              <w:t>25</w:t>
            </w:r>
            <w:r w:rsidR="008472C0" w:rsidRPr="009B7685">
              <w:rPr>
                <w:noProof/>
                <w:webHidden/>
              </w:rPr>
              <w:fldChar w:fldCharType="end"/>
            </w:r>
          </w:hyperlink>
        </w:p>
        <w:p w14:paraId="617E8899" w14:textId="77777777" w:rsidR="008472C0" w:rsidRPr="009B7685" w:rsidRDefault="00044427" w:rsidP="008472C0">
          <w:pPr>
            <w:pStyle w:val="Sumrio3"/>
            <w:tabs>
              <w:tab w:val="left" w:pos="1100"/>
              <w:tab w:val="right" w:leader="dot" w:pos="8494"/>
            </w:tabs>
            <w:rPr>
              <w:rFonts w:eastAsiaTheme="minorEastAsia"/>
              <w:i w:val="0"/>
              <w:iCs w:val="0"/>
              <w:noProof/>
              <w:sz w:val="22"/>
              <w:szCs w:val="22"/>
            </w:rPr>
          </w:pPr>
          <w:hyperlink w:anchor="_Toc534884829" w:history="1">
            <w:r w:rsidR="008472C0" w:rsidRPr="009B7685">
              <w:rPr>
                <w:rStyle w:val="Hyperlink"/>
                <w:noProof/>
              </w:rPr>
              <w:t>3.4.2</w:t>
            </w:r>
            <w:r w:rsidR="008472C0" w:rsidRPr="009B7685">
              <w:rPr>
                <w:rFonts w:eastAsiaTheme="minorEastAsia"/>
                <w:i w:val="0"/>
                <w:iCs w:val="0"/>
                <w:noProof/>
                <w:sz w:val="22"/>
                <w:szCs w:val="22"/>
              </w:rPr>
              <w:tab/>
            </w:r>
            <w:r w:rsidR="008472C0" w:rsidRPr="009B7685">
              <w:rPr>
                <w:rStyle w:val="Hyperlink"/>
                <w:noProof/>
              </w:rPr>
              <w:t>Não aplicação da Lei Complementar n. 123/2006, alterada pela Lei Complementar n. 147/2014.</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_Toc534884829 \h </w:instrText>
            </w:r>
            <w:r w:rsidR="008472C0" w:rsidRPr="009B7685">
              <w:rPr>
                <w:noProof/>
                <w:webHidden/>
              </w:rPr>
            </w:r>
            <w:r w:rsidR="008472C0" w:rsidRPr="009B7685">
              <w:rPr>
                <w:noProof/>
                <w:webHidden/>
              </w:rPr>
              <w:fldChar w:fldCharType="separate"/>
            </w:r>
            <w:r w:rsidR="006C34E9">
              <w:rPr>
                <w:noProof/>
                <w:webHidden/>
              </w:rPr>
              <w:t>25</w:t>
            </w:r>
            <w:r w:rsidR="008472C0" w:rsidRPr="009B7685">
              <w:rPr>
                <w:noProof/>
                <w:webHidden/>
              </w:rPr>
              <w:fldChar w:fldCharType="end"/>
            </w:r>
          </w:hyperlink>
        </w:p>
        <w:p w14:paraId="4E4B4380" w14:textId="77777777" w:rsidR="008472C0" w:rsidRPr="009B7685" w:rsidRDefault="00044427" w:rsidP="008472C0">
          <w:pPr>
            <w:pStyle w:val="Sumrio2"/>
            <w:rPr>
              <w:rFonts w:eastAsiaTheme="minorEastAsia"/>
              <w:smallCaps w:val="0"/>
              <w:noProof/>
              <w:sz w:val="22"/>
              <w:szCs w:val="22"/>
            </w:rPr>
          </w:pPr>
          <w:hyperlink w:anchor="_Toc534884830" w:history="1">
            <w:r w:rsidR="008472C0" w:rsidRPr="009B7685">
              <w:rPr>
                <w:rStyle w:val="Hyperlink"/>
                <w:noProof/>
              </w:rPr>
              <w:t>3.5</w:t>
            </w:r>
            <w:r w:rsidR="008472C0" w:rsidRPr="009B7685">
              <w:rPr>
                <w:rFonts w:eastAsiaTheme="minorEastAsia"/>
                <w:smallCaps w:val="0"/>
                <w:noProof/>
                <w:sz w:val="22"/>
                <w:szCs w:val="22"/>
              </w:rPr>
              <w:tab/>
            </w:r>
            <w:r w:rsidR="008472C0" w:rsidRPr="009B7685">
              <w:rPr>
                <w:rStyle w:val="Hyperlink"/>
                <w:noProof/>
              </w:rPr>
              <w:t>Classificação e Indicação orçamentária (Art. 16, V)</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_Toc534884830 \h </w:instrText>
            </w:r>
            <w:r w:rsidR="008472C0" w:rsidRPr="009B7685">
              <w:rPr>
                <w:noProof/>
                <w:webHidden/>
              </w:rPr>
            </w:r>
            <w:r w:rsidR="008472C0" w:rsidRPr="009B7685">
              <w:rPr>
                <w:noProof/>
                <w:webHidden/>
              </w:rPr>
              <w:fldChar w:fldCharType="separate"/>
            </w:r>
            <w:r w:rsidR="006C34E9">
              <w:rPr>
                <w:noProof/>
                <w:webHidden/>
              </w:rPr>
              <w:t>25</w:t>
            </w:r>
            <w:r w:rsidR="008472C0" w:rsidRPr="009B7685">
              <w:rPr>
                <w:noProof/>
                <w:webHidden/>
              </w:rPr>
              <w:fldChar w:fldCharType="end"/>
            </w:r>
          </w:hyperlink>
        </w:p>
        <w:p w14:paraId="3869713F" w14:textId="77777777" w:rsidR="008472C0" w:rsidRPr="009B7685" w:rsidRDefault="00044427" w:rsidP="008472C0">
          <w:pPr>
            <w:pStyle w:val="Sumrio2"/>
            <w:rPr>
              <w:rFonts w:eastAsiaTheme="minorEastAsia"/>
              <w:smallCaps w:val="0"/>
              <w:noProof/>
              <w:sz w:val="22"/>
              <w:szCs w:val="22"/>
            </w:rPr>
          </w:pPr>
          <w:hyperlink w:anchor="_Toc534884831" w:history="1">
            <w:r w:rsidR="008472C0" w:rsidRPr="009B7685">
              <w:rPr>
                <w:rStyle w:val="Hyperlink"/>
                <w:noProof/>
              </w:rPr>
              <w:t>3.6</w:t>
            </w:r>
            <w:r w:rsidR="008472C0" w:rsidRPr="009B7685">
              <w:rPr>
                <w:rFonts w:eastAsiaTheme="minorEastAsia"/>
                <w:smallCaps w:val="0"/>
                <w:noProof/>
                <w:sz w:val="22"/>
                <w:szCs w:val="22"/>
              </w:rPr>
              <w:tab/>
            </w:r>
            <w:r w:rsidR="008472C0" w:rsidRPr="009B7685">
              <w:rPr>
                <w:rStyle w:val="Hyperlink"/>
                <w:noProof/>
              </w:rPr>
              <w:t>Vigência da Prestação de Serviço (Art. 16, VI)</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_Toc534884831 \h </w:instrText>
            </w:r>
            <w:r w:rsidR="008472C0" w:rsidRPr="009B7685">
              <w:rPr>
                <w:noProof/>
                <w:webHidden/>
              </w:rPr>
            </w:r>
            <w:r w:rsidR="008472C0" w:rsidRPr="009B7685">
              <w:rPr>
                <w:noProof/>
                <w:webHidden/>
              </w:rPr>
              <w:fldChar w:fldCharType="separate"/>
            </w:r>
            <w:r w:rsidR="006C34E9">
              <w:rPr>
                <w:noProof/>
                <w:webHidden/>
              </w:rPr>
              <w:t>25</w:t>
            </w:r>
            <w:r w:rsidR="008472C0" w:rsidRPr="009B7685">
              <w:rPr>
                <w:noProof/>
                <w:webHidden/>
              </w:rPr>
              <w:fldChar w:fldCharType="end"/>
            </w:r>
          </w:hyperlink>
        </w:p>
        <w:p w14:paraId="402A5F5E" w14:textId="77777777" w:rsidR="008472C0" w:rsidRPr="009B7685" w:rsidRDefault="00044427" w:rsidP="008472C0">
          <w:pPr>
            <w:pStyle w:val="Sumrio2"/>
            <w:rPr>
              <w:rFonts w:eastAsiaTheme="minorEastAsia"/>
              <w:smallCaps w:val="0"/>
              <w:noProof/>
              <w:sz w:val="22"/>
              <w:szCs w:val="22"/>
            </w:rPr>
          </w:pPr>
          <w:hyperlink w:anchor="_Toc534884832" w:history="1">
            <w:r w:rsidR="008472C0" w:rsidRPr="009B7685">
              <w:rPr>
                <w:rStyle w:val="Hyperlink"/>
                <w:noProof/>
              </w:rPr>
              <w:t>3.7</w:t>
            </w:r>
            <w:r w:rsidR="008472C0" w:rsidRPr="009B7685">
              <w:rPr>
                <w:rFonts w:eastAsiaTheme="minorEastAsia"/>
                <w:smallCaps w:val="0"/>
                <w:noProof/>
                <w:sz w:val="22"/>
                <w:szCs w:val="22"/>
              </w:rPr>
              <w:tab/>
            </w:r>
            <w:r w:rsidR="008472C0" w:rsidRPr="009B7685">
              <w:rPr>
                <w:rStyle w:val="Hyperlink"/>
                <w:noProof/>
              </w:rPr>
              <w:t>Equipe de Apoio e Gestão à Contratação (Art. 16, VII)</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_Toc534884832 \h </w:instrText>
            </w:r>
            <w:r w:rsidR="008472C0" w:rsidRPr="009B7685">
              <w:rPr>
                <w:noProof/>
                <w:webHidden/>
              </w:rPr>
            </w:r>
            <w:r w:rsidR="008472C0" w:rsidRPr="009B7685">
              <w:rPr>
                <w:noProof/>
                <w:webHidden/>
              </w:rPr>
              <w:fldChar w:fldCharType="separate"/>
            </w:r>
            <w:r w:rsidR="006C34E9">
              <w:rPr>
                <w:noProof/>
                <w:webHidden/>
              </w:rPr>
              <w:t>25</w:t>
            </w:r>
            <w:r w:rsidR="008472C0" w:rsidRPr="009B7685">
              <w:rPr>
                <w:noProof/>
                <w:webHidden/>
              </w:rPr>
              <w:fldChar w:fldCharType="end"/>
            </w:r>
          </w:hyperlink>
        </w:p>
        <w:p w14:paraId="34997F0D" w14:textId="77777777" w:rsidR="008472C0" w:rsidRPr="009B7685" w:rsidRDefault="00044427" w:rsidP="008472C0">
          <w:pPr>
            <w:pStyle w:val="Sumrio1"/>
            <w:rPr>
              <w:rFonts w:eastAsiaTheme="minorEastAsia"/>
              <w:b w:val="0"/>
              <w:bCs w:val="0"/>
              <w:caps w:val="0"/>
              <w:noProof/>
              <w:sz w:val="22"/>
              <w:szCs w:val="22"/>
            </w:rPr>
          </w:pPr>
          <w:hyperlink w:anchor="_Toc534884833" w:history="1">
            <w:r w:rsidR="008472C0" w:rsidRPr="009B7685">
              <w:rPr>
                <w:rStyle w:val="Hyperlink"/>
                <w:noProof/>
              </w:rPr>
              <w:t>4</w:t>
            </w:r>
            <w:r w:rsidR="008472C0" w:rsidRPr="009B7685">
              <w:rPr>
                <w:rFonts w:eastAsiaTheme="minorEastAsia"/>
                <w:b w:val="0"/>
                <w:bCs w:val="0"/>
                <w:caps w:val="0"/>
                <w:noProof/>
                <w:sz w:val="22"/>
                <w:szCs w:val="22"/>
              </w:rPr>
              <w:tab/>
            </w:r>
            <w:r w:rsidR="008472C0" w:rsidRPr="009B7685">
              <w:rPr>
                <w:rStyle w:val="Hyperlink"/>
                <w:noProof/>
              </w:rPr>
              <w:t>ANÁLISE DE RISCOS</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_Toc534884833 \h </w:instrText>
            </w:r>
            <w:r w:rsidR="008472C0" w:rsidRPr="009B7685">
              <w:rPr>
                <w:noProof/>
                <w:webHidden/>
              </w:rPr>
            </w:r>
            <w:r w:rsidR="008472C0" w:rsidRPr="009B7685">
              <w:rPr>
                <w:noProof/>
                <w:webHidden/>
              </w:rPr>
              <w:fldChar w:fldCharType="separate"/>
            </w:r>
            <w:r w:rsidR="006C34E9">
              <w:rPr>
                <w:noProof/>
                <w:webHidden/>
              </w:rPr>
              <w:t>26</w:t>
            </w:r>
            <w:r w:rsidR="008472C0" w:rsidRPr="009B7685">
              <w:rPr>
                <w:noProof/>
                <w:webHidden/>
              </w:rPr>
              <w:fldChar w:fldCharType="end"/>
            </w:r>
          </w:hyperlink>
        </w:p>
        <w:p w14:paraId="7FABF0C2" w14:textId="77777777" w:rsidR="008472C0" w:rsidRPr="009B7685" w:rsidRDefault="00044427" w:rsidP="008472C0">
          <w:pPr>
            <w:pStyle w:val="Sumrio1"/>
            <w:rPr>
              <w:rFonts w:eastAsiaTheme="minorEastAsia"/>
              <w:b w:val="0"/>
              <w:bCs w:val="0"/>
              <w:caps w:val="0"/>
              <w:noProof/>
              <w:sz w:val="22"/>
              <w:szCs w:val="22"/>
            </w:rPr>
          </w:pPr>
          <w:hyperlink w:anchor="_Toc534884834" w:history="1">
            <w:r w:rsidR="008472C0" w:rsidRPr="009B7685">
              <w:rPr>
                <w:rStyle w:val="Hyperlink"/>
                <w:noProof/>
              </w:rPr>
              <w:t>Anexo A</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_Toc534884834 \h </w:instrText>
            </w:r>
            <w:r w:rsidR="008472C0" w:rsidRPr="009B7685">
              <w:rPr>
                <w:noProof/>
                <w:webHidden/>
              </w:rPr>
            </w:r>
            <w:r w:rsidR="008472C0" w:rsidRPr="009B7685">
              <w:rPr>
                <w:noProof/>
                <w:webHidden/>
              </w:rPr>
              <w:fldChar w:fldCharType="separate"/>
            </w:r>
            <w:r w:rsidR="006C34E9">
              <w:rPr>
                <w:noProof/>
                <w:webHidden/>
              </w:rPr>
              <w:t>30</w:t>
            </w:r>
            <w:r w:rsidR="008472C0" w:rsidRPr="009B7685">
              <w:rPr>
                <w:noProof/>
                <w:webHidden/>
              </w:rPr>
              <w:fldChar w:fldCharType="end"/>
            </w:r>
          </w:hyperlink>
        </w:p>
        <w:p w14:paraId="024036EB" w14:textId="77777777" w:rsidR="008472C0" w:rsidRPr="009B7685" w:rsidRDefault="00044427" w:rsidP="008472C0">
          <w:pPr>
            <w:pStyle w:val="Sumrio2"/>
            <w:rPr>
              <w:rFonts w:eastAsiaTheme="minorEastAsia"/>
              <w:smallCaps w:val="0"/>
              <w:noProof/>
              <w:sz w:val="22"/>
              <w:szCs w:val="22"/>
            </w:rPr>
          </w:pPr>
          <w:hyperlink w:anchor="_Toc534884835" w:history="1">
            <w:r w:rsidR="008472C0" w:rsidRPr="009B7685">
              <w:rPr>
                <w:rStyle w:val="Hyperlink"/>
                <w:noProof/>
              </w:rPr>
              <w:t>Contratações Públicas Similares</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_Toc534884835 \h </w:instrText>
            </w:r>
            <w:r w:rsidR="008472C0" w:rsidRPr="009B7685">
              <w:rPr>
                <w:noProof/>
                <w:webHidden/>
              </w:rPr>
            </w:r>
            <w:r w:rsidR="008472C0" w:rsidRPr="009B7685">
              <w:rPr>
                <w:noProof/>
                <w:webHidden/>
              </w:rPr>
              <w:fldChar w:fldCharType="separate"/>
            </w:r>
            <w:r w:rsidR="006C34E9">
              <w:rPr>
                <w:noProof/>
                <w:webHidden/>
              </w:rPr>
              <w:t>30</w:t>
            </w:r>
            <w:r w:rsidR="008472C0" w:rsidRPr="009B7685">
              <w:rPr>
                <w:noProof/>
                <w:webHidden/>
              </w:rPr>
              <w:fldChar w:fldCharType="end"/>
            </w:r>
          </w:hyperlink>
        </w:p>
        <w:p w14:paraId="74879355" w14:textId="77777777" w:rsidR="008472C0" w:rsidRPr="009B7685" w:rsidRDefault="00044427" w:rsidP="008472C0">
          <w:pPr>
            <w:pStyle w:val="Sumrio1"/>
            <w:rPr>
              <w:rFonts w:eastAsiaTheme="minorEastAsia"/>
              <w:b w:val="0"/>
              <w:bCs w:val="0"/>
              <w:caps w:val="0"/>
              <w:noProof/>
              <w:sz w:val="22"/>
              <w:szCs w:val="22"/>
            </w:rPr>
          </w:pPr>
          <w:hyperlink w:anchor="_Toc534884836" w:history="1">
            <w:r w:rsidR="008472C0" w:rsidRPr="009B7685">
              <w:rPr>
                <w:rStyle w:val="Hyperlink"/>
                <w:noProof/>
              </w:rPr>
              <w:t>Anexo B</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_Toc534884836 \h </w:instrText>
            </w:r>
            <w:r w:rsidR="008472C0" w:rsidRPr="009B7685">
              <w:rPr>
                <w:noProof/>
                <w:webHidden/>
              </w:rPr>
            </w:r>
            <w:r w:rsidR="008472C0" w:rsidRPr="009B7685">
              <w:rPr>
                <w:noProof/>
                <w:webHidden/>
              </w:rPr>
              <w:fldChar w:fldCharType="separate"/>
            </w:r>
            <w:r w:rsidR="006C34E9">
              <w:rPr>
                <w:noProof/>
                <w:webHidden/>
              </w:rPr>
              <w:t>33</w:t>
            </w:r>
            <w:r w:rsidR="008472C0" w:rsidRPr="009B7685">
              <w:rPr>
                <w:noProof/>
                <w:webHidden/>
              </w:rPr>
              <w:fldChar w:fldCharType="end"/>
            </w:r>
          </w:hyperlink>
        </w:p>
        <w:p w14:paraId="102C2C67" w14:textId="77777777" w:rsidR="008472C0" w:rsidRPr="009B7685" w:rsidRDefault="00044427" w:rsidP="008472C0">
          <w:pPr>
            <w:pStyle w:val="Sumrio2"/>
            <w:rPr>
              <w:rFonts w:eastAsiaTheme="minorEastAsia"/>
              <w:smallCaps w:val="0"/>
              <w:noProof/>
              <w:sz w:val="22"/>
              <w:szCs w:val="22"/>
            </w:rPr>
          </w:pPr>
          <w:hyperlink w:anchor="_Toc534884837" w:history="1">
            <w:r w:rsidR="008472C0" w:rsidRPr="009B7685">
              <w:rPr>
                <w:rStyle w:val="Hyperlink"/>
                <w:noProof/>
              </w:rPr>
              <w:t>Plano de Implantação</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_Toc534884837 \h </w:instrText>
            </w:r>
            <w:r w:rsidR="008472C0" w:rsidRPr="009B7685">
              <w:rPr>
                <w:noProof/>
                <w:webHidden/>
              </w:rPr>
            </w:r>
            <w:r w:rsidR="008472C0" w:rsidRPr="009B7685">
              <w:rPr>
                <w:noProof/>
                <w:webHidden/>
              </w:rPr>
              <w:fldChar w:fldCharType="separate"/>
            </w:r>
            <w:r w:rsidR="006C34E9">
              <w:rPr>
                <w:noProof/>
                <w:webHidden/>
              </w:rPr>
              <w:t>33</w:t>
            </w:r>
            <w:r w:rsidR="008472C0" w:rsidRPr="009B7685">
              <w:rPr>
                <w:noProof/>
                <w:webHidden/>
              </w:rPr>
              <w:fldChar w:fldCharType="end"/>
            </w:r>
          </w:hyperlink>
        </w:p>
        <w:p w14:paraId="09B03407" w14:textId="77777777" w:rsidR="008472C0" w:rsidRPr="009B7685" w:rsidRDefault="00044427" w:rsidP="008472C0">
          <w:pPr>
            <w:pStyle w:val="Sumrio1"/>
            <w:rPr>
              <w:rFonts w:eastAsiaTheme="minorEastAsia"/>
              <w:b w:val="0"/>
              <w:bCs w:val="0"/>
              <w:caps w:val="0"/>
              <w:noProof/>
              <w:sz w:val="22"/>
              <w:szCs w:val="22"/>
            </w:rPr>
          </w:pPr>
          <w:hyperlink w:anchor="_Toc534884838" w:history="1">
            <w:r w:rsidR="008472C0" w:rsidRPr="009B7685">
              <w:rPr>
                <w:rStyle w:val="Hyperlink"/>
                <w:noProof/>
              </w:rPr>
              <w:t>Anexo C</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_Toc534884838 \h </w:instrText>
            </w:r>
            <w:r w:rsidR="008472C0" w:rsidRPr="009B7685">
              <w:rPr>
                <w:noProof/>
                <w:webHidden/>
              </w:rPr>
            </w:r>
            <w:r w:rsidR="008472C0" w:rsidRPr="009B7685">
              <w:rPr>
                <w:noProof/>
                <w:webHidden/>
              </w:rPr>
              <w:fldChar w:fldCharType="separate"/>
            </w:r>
            <w:r w:rsidR="006C34E9">
              <w:rPr>
                <w:noProof/>
                <w:webHidden/>
              </w:rPr>
              <w:t>38</w:t>
            </w:r>
            <w:r w:rsidR="008472C0" w:rsidRPr="009B7685">
              <w:rPr>
                <w:noProof/>
                <w:webHidden/>
              </w:rPr>
              <w:fldChar w:fldCharType="end"/>
            </w:r>
          </w:hyperlink>
        </w:p>
        <w:p w14:paraId="47C8A465" w14:textId="77777777" w:rsidR="008472C0" w:rsidRPr="009B7685" w:rsidRDefault="00044427" w:rsidP="008472C0">
          <w:pPr>
            <w:pStyle w:val="Sumrio2"/>
            <w:rPr>
              <w:rFonts w:eastAsiaTheme="minorEastAsia"/>
              <w:smallCaps w:val="0"/>
              <w:noProof/>
              <w:sz w:val="22"/>
              <w:szCs w:val="22"/>
            </w:rPr>
          </w:pPr>
          <w:hyperlink w:anchor="_Toc534884839" w:history="1">
            <w:r w:rsidR="008472C0" w:rsidRPr="009B7685">
              <w:rPr>
                <w:rStyle w:val="Hyperlink"/>
                <w:noProof/>
              </w:rPr>
              <w:t>Requisitos Técnicos e de Negócio – não li essa parte ainda</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_Toc534884839 \h </w:instrText>
            </w:r>
            <w:r w:rsidR="008472C0" w:rsidRPr="009B7685">
              <w:rPr>
                <w:noProof/>
                <w:webHidden/>
              </w:rPr>
            </w:r>
            <w:r w:rsidR="008472C0" w:rsidRPr="009B7685">
              <w:rPr>
                <w:noProof/>
                <w:webHidden/>
              </w:rPr>
              <w:fldChar w:fldCharType="separate"/>
            </w:r>
            <w:r w:rsidR="006C34E9">
              <w:rPr>
                <w:noProof/>
                <w:webHidden/>
              </w:rPr>
              <w:t>38</w:t>
            </w:r>
            <w:r w:rsidR="008472C0" w:rsidRPr="009B7685">
              <w:rPr>
                <w:noProof/>
                <w:webHidden/>
              </w:rPr>
              <w:fldChar w:fldCharType="end"/>
            </w:r>
          </w:hyperlink>
        </w:p>
        <w:p w14:paraId="775784D7" w14:textId="77777777" w:rsidR="008472C0" w:rsidRPr="009B7685" w:rsidRDefault="00044427" w:rsidP="008472C0">
          <w:pPr>
            <w:pStyle w:val="Sumrio1"/>
            <w:rPr>
              <w:rFonts w:eastAsiaTheme="minorEastAsia"/>
              <w:b w:val="0"/>
              <w:bCs w:val="0"/>
              <w:caps w:val="0"/>
              <w:noProof/>
              <w:sz w:val="22"/>
              <w:szCs w:val="22"/>
            </w:rPr>
          </w:pPr>
          <w:hyperlink w:anchor="_Toc534884840" w:history="1">
            <w:r w:rsidR="008472C0" w:rsidRPr="009B7685">
              <w:rPr>
                <w:rStyle w:val="Hyperlink"/>
                <w:noProof/>
              </w:rPr>
              <w:t>Anexo D</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_Toc534884840 \h </w:instrText>
            </w:r>
            <w:r w:rsidR="008472C0" w:rsidRPr="009B7685">
              <w:rPr>
                <w:noProof/>
                <w:webHidden/>
              </w:rPr>
            </w:r>
            <w:r w:rsidR="008472C0" w:rsidRPr="009B7685">
              <w:rPr>
                <w:noProof/>
                <w:webHidden/>
              </w:rPr>
              <w:fldChar w:fldCharType="separate"/>
            </w:r>
            <w:r w:rsidR="006C34E9">
              <w:rPr>
                <w:noProof/>
                <w:webHidden/>
              </w:rPr>
              <w:t>46</w:t>
            </w:r>
            <w:r w:rsidR="008472C0" w:rsidRPr="009B7685">
              <w:rPr>
                <w:noProof/>
                <w:webHidden/>
              </w:rPr>
              <w:fldChar w:fldCharType="end"/>
            </w:r>
          </w:hyperlink>
        </w:p>
        <w:p w14:paraId="73901740" w14:textId="77777777" w:rsidR="008472C0" w:rsidRPr="009B7685" w:rsidRDefault="00044427" w:rsidP="008472C0">
          <w:pPr>
            <w:pStyle w:val="Sumrio2"/>
            <w:rPr>
              <w:rFonts w:eastAsiaTheme="minorEastAsia"/>
              <w:smallCaps w:val="0"/>
              <w:noProof/>
              <w:sz w:val="22"/>
              <w:szCs w:val="22"/>
            </w:rPr>
          </w:pPr>
          <w:hyperlink w:anchor="_Toc534884841" w:history="1">
            <w:r w:rsidR="008472C0" w:rsidRPr="009B7685">
              <w:rPr>
                <w:rStyle w:val="Hyperlink"/>
                <w:noProof/>
              </w:rPr>
              <w:t>Orçamentos</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_Toc534884841 \h </w:instrText>
            </w:r>
            <w:r w:rsidR="008472C0" w:rsidRPr="009B7685">
              <w:rPr>
                <w:noProof/>
                <w:webHidden/>
              </w:rPr>
            </w:r>
            <w:r w:rsidR="008472C0" w:rsidRPr="009B7685">
              <w:rPr>
                <w:noProof/>
                <w:webHidden/>
              </w:rPr>
              <w:fldChar w:fldCharType="separate"/>
            </w:r>
            <w:r w:rsidR="006C34E9">
              <w:rPr>
                <w:noProof/>
                <w:webHidden/>
              </w:rPr>
              <w:t>46</w:t>
            </w:r>
            <w:r w:rsidR="008472C0" w:rsidRPr="009B7685">
              <w:rPr>
                <w:noProof/>
                <w:webHidden/>
              </w:rPr>
              <w:fldChar w:fldCharType="end"/>
            </w:r>
          </w:hyperlink>
        </w:p>
        <w:p w14:paraId="79D8E8DC" w14:textId="77777777" w:rsidR="008472C0" w:rsidRPr="009B7685" w:rsidRDefault="00044427" w:rsidP="008472C0">
          <w:pPr>
            <w:pStyle w:val="Sumrio1"/>
            <w:rPr>
              <w:rFonts w:eastAsiaTheme="minorEastAsia"/>
              <w:b w:val="0"/>
              <w:bCs w:val="0"/>
              <w:caps w:val="0"/>
              <w:noProof/>
              <w:sz w:val="22"/>
              <w:szCs w:val="22"/>
            </w:rPr>
          </w:pPr>
          <w:hyperlink w:anchor="_Toc534884842" w:history="1">
            <w:r w:rsidR="008472C0" w:rsidRPr="009B7685">
              <w:rPr>
                <w:rStyle w:val="Hyperlink"/>
                <w:noProof/>
              </w:rPr>
              <w:t>Anexo E</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_Toc534884842 \h </w:instrText>
            </w:r>
            <w:r w:rsidR="008472C0" w:rsidRPr="009B7685">
              <w:rPr>
                <w:noProof/>
                <w:webHidden/>
              </w:rPr>
            </w:r>
            <w:r w:rsidR="008472C0" w:rsidRPr="009B7685">
              <w:rPr>
                <w:noProof/>
                <w:webHidden/>
              </w:rPr>
              <w:fldChar w:fldCharType="separate"/>
            </w:r>
            <w:r w:rsidR="006C34E9">
              <w:rPr>
                <w:noProof/>
                <w:webHidden/>
              </w:rPr>
              <w:t>47</w:t>
            </w:r>
            <w:r w:rsidR="008472C0" w:rsidRPr="009B7685">
              <w:rPr>
                <w:noProof/>
                <w:webHidden/>
              </w:rPr>
              <w:fldChar w:fldCharType="end"/>
            </w:r>
          </w:hyperlink>
        </w:p>
        <w:p w14:paraId="116A2E72" w14:textId="77777777" w:rsidR="008472C0" w:rsidRPr="009B7685" w:rsidRDefault="00044427" w:rsidP="008472C0">
          <w:pPr>
            <w:pStyle w:val="Sumrio2"/>
            <w:rPr>
              <w:rFonts w:eastAsiaTheme="minorEastAsia"/>
              <w:smallCaps w:val="0"/>
              <w:noProof/>
              <w:sz w:val="22"/>
              <w:szCs w:val="22"/>
            </w:rPr>
          </w:pPr>
          <w:hyperlink w:anchor="_Toc534884843" w:history="1">
            <w:r w:rsidR="008472C0" w:rsidRPr="009B7685">
              <w:rPr>
                <w:rStyle w:val="Hyperlink"/>
                <w:noProof/>
              </w:rPr>
              <w:t>Lista de Potenciais Fornecedores</w:t>
            </w:r>
            <w:r w:rsidR="008472C0" w:rsidRPr="009B7685">
              <w:rPr>
                <w:noProof/>
                <w:webHidden/>
              </w:rPr>
              <w:tab/>
            </w:r>
            <w:r w:rsidR="008472C0" w:rsidRPr="009B7685">
              <w:rPr>
                <w:noProof/>
                <w:webHidden/>
              </w:rPr>
              <w:fldChar w:fldCharType="begin"/>
            </w:r>
            <w:r w:rsidR="008472C0" w:rsidRPr="009B7685">
              <w:rPr>
                <w:noProof/>
                <w:webHidden/>
              </w:rPr>
              <w:instrText xml:space="preserve"> PAGEREF _Toc534884843 \h </w:instrText>
            </w:r>
            <w:r w:rsidR="008472C0" w:rsidRPr="009B7685">
              <w:rPr>
                <w:noProof/>
                <w:webHidden/>
              </w:rPr>
            </w:r>
            <w:r w:rsidR="008472C0" w:rsidRPr="009B7685">
              <w:rPr>
                <w:noProof/>
                <w:webHidden/>
              </w:rPr>
              <w:fldChar w:fldCharType="separate"/>
            </w:r>
            <w:r w:rsidR="006C34E9">
              <w:rPr>
                <w:noProof/>
                <w:webHidden/>
              </w:rPr>
              <w:t>47</w:t>
            </w:r>
            <w:r w:rsidR="008472C0" w:rsidRPr="009B7685">
              <w:rPr>
                <w:noProof/>
                <w:webHidden/>
              </w:rPr>
              <w:fldChar w:fldCharType="end"/>
            </w:r>
          </w:hyperlink>
        </w:p>
        <w:p w14:paraId="31847BE5" w14:textId="77777777" w:rsidR="008472C0" w:rsidRPr="009B7685" w:rsidRDefault="008472C0" w:rsidP="008472C0">
          <w:pPr>
            <w:rPr>
              <w:rFonts w:cstheme="minorHAnsi"/>
            </w:rPr>
          </w:pPr>
          <w:r w:rsidRPr="009B7685">
            <w:rPr>
              <w:rFonts w:cstheme="minorHAnsi"/>
              <w:b/>
              <w:bCs/>
            </w:rPr>
            <w:fldChar w:fldCharType="end"/>
          </w:r>
        </w:p>
      </w:sdtContent>
    </w:sdt>
    <w:p w14:paraId="4291C7AC" w14:textId="77777777" w:rsidR="008472C0" w:rsidRPr="009B7685" w:rsidRDefault="008472C0" w:rsidP="4F2C0FBD">
      <w:pPr>
        <w:pStyle w:val="Ttulo1"/>
        <w:pageBreakBefore/>
        <w:spacing w:before="240"/>
        <w:ind w:left="431" w:hanging="431"/>
        <w:rPr>
          <w:rFonts w:asciiTheme="minorHAnsi" w:eastAsiaTheme="minorEastAsia" w:hAnsiTheme="minorHAnsi" w:cstheme="minorBidi"/>
        </w:rPr>
      </w:pPr>
      <w:bookmarkStart w:id="1" w:name="_Toc534884796"/>
      <w:r w:rsidRPr="4F2C0FBD">
        <w:rPr>
          <w:rFonts w:asciiTheme="minorHAnsi" w:eastAsiaTheme="minorEastAsia" w:hAnsiTheme="minorHAnsi" w:cstheme="minorBidi"/>
        </w:rPr>
        <w:lastRenderedPageBreak/>
        <w:t>ANÁLISE DE VIABILIDADE DA CONTRATAÇÃO (Art.14)</w:t>
      </w:r>
      <w:bookmarkEnd w:id="1"/>
    </w:p>
    <w:p w14:paraId="6DA5F643" w14:textId="77777777" w:rsidR="008472C0" w:rsidRPr="009B7685" w:rsidRDefault="008472C0" w:rsidP="4F2C0FBD">
      <w:pPr>
        <w:pStyle w:val="Ttulo2"/>
        <w:numPr>
          <w:ilvl w:val="1"/>
          <w:numId w:val="0"/>
        </w:numPr>
        <w:spacing w:after="120"/>
        <w:rPr>
          <w:rFonts w:asciiTheme="minorHAnsi" w:eastAsiaTheme="minorEastAsia" w:hAnsiTheme="minorHAnsi" w:cstheme="minorBidi"/>
        </w:rPr>
      </w:pPr>
      <w:bookmarkStart w:id="2" w:name="_Toc534884797"/>
      <w:r w:rsidRPr="4F2C0FBD">
        <w:rPr>
          <w:rFonts w:asciiTheme="minorHAnsi" w:eastAsiaTheme="minorEastAsia" w:hAnsiTheme="minorHAnsi" w:cstheme="minorBidi"/>
        </w:rPr>
        <w:t>Contextualização</w:t>
      </w:r>
      <w:bookmarkEnd w:id="2"/>
    </w:p>
    <w:p w14:paraId="12E54DF2" w14:textId="77777777" w:rsidR="008472C0" w:rsidRPr="009B7685" w:rsidRDefault="4F2C0FBD" w:rsidP="4F2C0FBD">
      <w:pPr>
        <w:pStyle w:val="PargrafodaLista"/>
        <w:ind w:left="0" w:firstLine="709"/>
        <w:rPr>
          <w:rFonts w:eastAsiaTheme="minorEastAsia"/>
          <w:sz w:val="24"/>
          <w:szCs w:val="24"/>
        </w:rPr>
      </w:pPr>
      <w:r w:rsidRPr="4F2C0FBD">
        <w:rPr>
          <w:rFonts w:eastAsiaTheme="minorEastAsia"/>
          <w:sz w:val="24"/>
          <w:szCs w:val="24"/>
        </w:rPr>
        <w:t xml:space="preserve">O PJMT conta hoje com uma solução de armazenamento de dados composto por 2 (dois) equipamentos </w:t>
      </w:r>
      <w:r w:rsidRPr="4F2C0FBD">
        <w:rPr>
          <w:rFonts w:eastAsiaTheme="minorEastAsia"/>
          <w:i/>
          <w:iCs/>
          <w:sz w:val="24"/>
          <w:szCs w:val="24"/>
        </w:rPr>
        <w:t>storages</w:t>
      </w:r>
      <w:r w:rsidRPr="4F2C0FBD">
        <w:rPr>
          <w:rFonts w:eastAsiaTheme="minorEastAsia"/>
          <w:sz w:val="24"/>
          <w:szCs w:val="24"/>
        </w:rPr>
        <w:t xml:space="preserve">. A principal função desses </w:t>
      </w:r>
      <w:r w:rsidRPr="4F2C0FBD">
        <w:rPr>
          <w:rFonts w:eastAsiaTheme="minorEastAsia"/>
          <w:i/>
          <w:iCs/>
          <w:sz w:val="24"/>
          <w:szCs w:val="24"/>
        </w:rPr>
        <w:t>storages</w:t>
      </w:r>
      <w:r w:rsidRPr="4F2C0FBD">
        <w:rPr>
          <w:rFonts w:eastAsiaTheme="minorEastAsia"/>
          <w:sz w:val="24"/>
          <w:szCs w:val="24"/>
        </w:rPr>
        <w:t xml:space="preserve"> é o armazenamento persistente de toda e qualquer informação gerada pelos usuários, bem como pelos sistemas que produzem e recebem conteúdo tais como o PJe, Webmail, CIA, PROJUDI, entre outros. Diferentemente de ser um simples dispositivo de armazenamento de dados, os </w:t>
      </w:r>
      <w:r w:rsidRPr="4F2C0FBD">
        <w:rPr>
          <w:rFonts w:eastAsiaTheme="minorEastAsia"/>
          <w:i/>
          <w:iCs/>
          <w:sz w:val="24"/>
          <w:szCs w:val="24"/>
        </w:rPr>
        <w:t>storages</w:t>
      </w:r>
      <w:r w:rsidRPr="4F2C0FBD">
        <w:rPr>
          <w:rFonts w:eastAsiaTheme="minorEastAsia"/>
          <w:sz w:val="24"/>
          <w:szCs w:val="24"/>
        </w:rPr>
        <w:t xml:space="preserve"> possuem sofisticada arquitetura capaz de garantir alto desempenho, aliada a segurança e confiabilidade das informações gravadas por meio do uso de tecnologia de redundância de dados, checagens de integridade e capacidade de recuperação automática de falhas de seus componentes internos.</w:t>
      </w:r>
    </w:p>
    <w:p w14:paraId="01EBFC15"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A solução de </w:t>
      </w:r>
      <w:r w:rsidRPr="4F2C0FBD">
        <w:rPr>
          <w:rFonts w:eastAsiaTheme="minorEastAsia"/>
          <w:i/>
          <w:iCs/>
          <w:sz w:val="24"/>
          <w:szCs w:val="24"/>
        </w:rPr>
        <w:t>storage</w:t>
      </w:r>
      <w:r w:rsidRPr="4F2C0FBD">
        <w:rPr>
          <w:rFonts w:eastAsiaTheme="minorEastAsia"/>
          <w:sz w:val="24"/>
          <w:szCs w:val="24"/>
        </w:rPr>
        <w:t xml:space="preserve"> deste PJMT está instalada de forma dividida: nos Datacenters do Tribunal de Justiça e do Fórum da Capital. Essa estrutura é composta por: 02 storages modelo Hitachi VSPG1000 de 581 TB (TeraBytes) líquidos de capacidade de armazenamento instalados em 04 (quatro) racks HDS 19’’ 42 Us, cada, e 02 switches Brocade DCX8510-4 (SAN), adquiridos no ano de 2015, através do Contrato 28/2015.</w:t>
      </w:r>
    </w:p>
    <w:p w14:paraId="553269D3"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Além da redundância intrínseca da constituição interna dos storages, em nosso Poder Judiciário, tais equipamentos operam em pares, os quais estão instalados de forma a montar uma réplica, sendo 2 (dois) armários no Datacenter do Fórum da Capital e os outros 2 (dois) no Datacenter deste Tribunal de Justiça (figura 1).</w:t>
      </w:r>
    </w:p>
    <w:p w14:paraId="0A12A657" w14:textId="77777777" w:rsidR="008472C0" w:rsidRPr="009B7685" w:rsidRDefault="008472C0" w:rsidP="008472C0">
      <w:pPr>
        <w:ind w:firstLine="709"/>
        <w:jc w:val="both"/>
        <w:rPr>
          <w:rFonts w:cstheme="minorHAnsi"/>
          <w:sz w:val="24"/>
          <w:szCs w:val="24"/>
        </w:rPr>
      </w:pPr>
    </w:p>
    <w:p w14:paraId="08840431" w14:textId="77777777" w:rsidR="008472C0" w:rsidRPr="009B7685" w:rsidRDefault="008472C0" w:rsidP="008472C0">
      <w:pPr>
        <w:jc w:val="center"/>
        <w:rPr>
          <w:rFonts w:cstheme="minorHAnsi"/>
          <w:sz w:val="24"/>
          <w:szCs w:val="24"/>
        </w:rPr>
      </w:pPr>
      <w:r w:rsidRPr="009B7685">
        <w:rPr>
          <w:rFonts w:cstheme="minorHAnsi"/>
          <w:noProof/>
        </w:rPr>
        <w:drawing>
          <wp:inline distT="0" distB="0" distL="0" distR="0" wp14:anchorId="00EB7450" wp14:editId="63D9DA75">
            <wp:extent cx="4238625" cy="2705100"/>
            <wp:effectExtent l="0" t="0" r="9525" b="0"/>
            <wp:docPr id="8565874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238625" cy="2705100"/>
                    </a:xfrm>
                    <a:prstGeom prst="rect">
                      <a:avLst/>
                    </a:prstGeom>
                  </pic:spPr>
                </pic:pic>
              </a:graphicData>
            </a:graphic>
          </wp:inline>
        </w:drawing>
      </w:r>
    </w:p>
    <w:p w14:paraId="4BA18233" w14:textId="77777777" w:rsidR="008472C0" w:rsidRPr="009B7685" w:rsidRDefault="008472C0" w:rsidP="4F2C0FBD">
      <w:pPr>
        <w:pStyle w:val="Legenda"/>
        <w:rPr>
          <w:rFonts w:eastAsiaTheme="minorEastAsia"/>
          <w:sz w:val="18"/>
        </w:rPr>
      </w:pPr>
      <w:r w:rsidRPr="4F2C0FBD">
        <w:rPr>
          <w:rFonts w:eastAsiaTheme="minorEastAsia"/>
          <w:sz w:val="18"/>
        </w:rPr>
        <w:t xml:space="preserve">Figura </w:t>
      </w:r>
      <w:r w:rsidRPr="4F2C0FBD">
        <w:fldChar w:fldCharType="begin"/>
      </w:r>
      <w:r w:rsidRPr="009B7685">
        <w:rPr>
          <w:rFonts w:cstheme="minorHAnsi"/>
          <w:sz w:val="18"/>
        </w:rPr>
        <w:instrText xml:space="preserve"> SEQ Figura \* ARABIC </w:instrText>
      </w:r>
      <w:r w:rsidRPr="4F2C0FBD">
        <w:rPr>
          <w:rFonts w:cstheme="minorHAnsi"/>
          <w:sz w:val="18"/>
        </w:rPr>
        <w:fldChar w:fldCharType="separate"/>
      </w:r>
      <w:r w:rsidR="006C34E9">
        <w:rPr>
          <w:rFonts w:cstheme="minorHAnsi"/>
          <w:noProof/>
          <w:sz w:val="18"/>
        </w:rPr>
        <w:t>1</w:t>
      </w:r>
      <w:r w:rsidRPr="4F2C0FBD">
        <w:fldChar w:fldCharType="end"/>
      </w:r>
      <w:r w:rsidRPr="4F2C0FBD">
        <w:rPr>
          <w:rFonts w:eastAsiaTheme="minorEastAsia"/>
          <w:sz w:val="18"/>
        </w:rPr>
        <w:t xml:space="preserve"> – racks VSP G1000</w:t>
      </w:r>
    </w:p>
    <w:p w14:paraId="0E0CB36D"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A redundância de dispositivos, estruturada por este Poder Judiciário, compõe uma estratégia de segurança para proteger os dados de modo que caso um deles venha sofrer alguma espécie de dano que comprometa o seu funcionamento, pane elétrica, inundação ou mesmo caso uma catástrofe isole o local onde um dos equipamentos está instalado, o remanescente manterá as informações armazenadas salvaguardadas de </w:t>
      </w:r>
      <w:r w:rsidRPr="4F2C0FBD">
        <w:rPr>
          <w:rFonts w:eastAsiaTheme="minorEastAsia"/>
          <w:sz w:val="24"/>
          <w:szCs w:val="24"/>
        </w:rPr>
        <w:lastRenderedPageBreak/>
        <w:t xml:space="preserve">forma íntegra, possibilitando a operação dos serviços de Tecnologia da Informação. Por outro lado, deve-se observar que por serem réplicas, a porção utilizável do espaço de armazenamento é sempre a metade da capacidade total dos storages. </w:t>
      </w:r>
    </w:p>
    <w:p w14:paraId="184C085C"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Outro aspecto de grande relevância é a classificação de mercado da solução instalada neste Poder: High-End. Tal classificação se dá pela capacidade dos equipamentos de operarem com alta performance de processamento (leitura/escrita), alta escalabilidade para cache, além da redundância de controladoras, CPU e memória. </w:t>
      </w:r>
    </w:p>
    <w:p w14:paraId="37E967E5"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As especificações técnicas dos equipamentos que compõe a solução de </w:t>
      </w:r>
      <w:r w:rsidRPr="4F2C0FBD">
        <w:rPr>
          <w:rFonts w:eastAsiaTheme="minorEastAsia"/>
          <w:i/>
          <w:iCs/>
          <w:sz w:val="24"/>
          <w:szCs w:val="24"/>
        </w:rPr>
        <w:t>storage</w:t>
      </w:r>
      <w:r w:rsidRPr="4F2C0FBD">
        <w:rPr>
          <w:rFonts w:eastAsiaTheme="minorEastAsia"/>
          <w:sz w:val="24"/>
          <w:szCs w:val="24"/>
        </w:rPr>
        <w:t>s do PJMT são as seguintes:</w:t>
      </w:r>
    </w:p>
    <w:p w14:paraId="1043980F" w14:textId="77777777" w:rsidR="008472C0" w:rsidRPr="009B7685" w:rsidRDefault="4F2C0FBD" w:rsidP="4F2C0FBD">
      <w:pPr>
        <w:pStyle w:val="PargrafodaLista"/>
        <w:numPr>
          <w:ilvl w:val="0"/>
          <w:numId w:val="9"/>
        </w:numPr>
        <w:rPr>
          <w:rFonts w:eastAsiaTheme="minorEastAsia"/>
          <w:sz w:val="24"/>
          <w:szCs w:val="24"/>
        </w:rPr>
      </w:pPr>
      <w:r w:rsidRPr="4F2C0FBD">
        <w:rPr>
          <w:rFonts w:eastAsiaTheme="minorEastAsia"/>
          <w:sz w:val="24"/>
          <w:szCs w:val="24"/>
        </w:rPr>
        <w:t>02 x Hitachi VSP G1000, cada sistema com configuração:</w:t>
      </w:r>
    </w:p>
    <w:p w14:paraId="0C2D1F17" w14:textId="77777777" w:rsidR="008472C0" w:rsidRPr="009B7685" w:rsidRDefault="4F2C0FBD" w:rsidP="4F2C0FBD">
      <w:pPr>
        <w:pStyle w:val="PargrafodaLista"/>
        <w:numPr>
          <w:ilvl w:val="1"/>
          <w:numId w:val="9"/>
        </w:numPr>
        <w:rPr>
          <w:rFonts w:eastAsiaTheme="minorEastAsia"/>
          <w:sz w:val="24"/>
          <w:szCs w:val="24"/>
        </w:rPr>
      </w:pPr>
      <w:r w:rsidRPr="4F2C0FBD">
        <w:rPr>
          <w:rFonts w:eastAsiaTheme="minorEastAsia"/>
          <w:sz w:val="24"/>
          <w:szCs w:val="24"/>
        </w:rPr>
        <w:t xml:space="preserve">02 </w:t>
      </w:r>
      <w:r w:rsidRPr="4F2C0FBD">
        <w:rPr>
          <w:rFonts w:eastAsiaTheme="minorEastAsia"/>
          <w:i/>
          <w:iCs/>
          <w:sz w:val="24"/>
          <w:szCs w:val="24"/>
        </w:rPr>
        <w:t>rack</w:t>
      </w:r>
      <w:r w:rsidRPr="4F2C0FBD">
        <w:rPr>
          <w:rFonts w:eastAsiaTheme="minorEastAsia"/>
          <w:sz w:val="24"/>
          <w:szCs w:val="24"/>
        </w:rPr>
        <w:t>s HDS 19’’ 42 Us;</w:t>
      </w:r>
    </w:p>
    <w:p w14:paraId="3A0E6C34" w14:textId="77777777" w:rsidR="008472C0" w:rsidRPr="009B7685" w:rsidRDefault="4F2C0FBD" w:rsidP="4F2C0FBD">
      <w:pPr>
        <w:pStyle w:val="PargrafodaLista"/>
        <w:numPr>
          <w:ilvl w:val="1"/>
          <w:numId w:val="9"/>
        </w:numPr>
        <w:rPr>
          <w:rFonts w:eastAsiaTheme="minorEastAsia"/>
          <w:sz w:val="24"/>
          <w:szCs w:val="24"/>
        </w:rPr>
      </w:pPr>
      <w:r w:rsidRPr="4F2C0FBD">
        <w:rPr>
          <w:rFonts w:eastAsiaTheme="minorEastAsia"/>
          <w:sz w:val="24"/>
          <w:szCs w:val="24"/>
        </w:rPr>
        <w:t>2048 Giga Bytes de cache;</w:t>
      </w:r>
    </w:p>
    <w:p w14:paraId="5659DF3B" w14:textId="77777777" w:rsidR="008472C0" w:rsidRPr="009B7685" w:rsidRDefault="4F2C0FBD" w:rsidP="4F2C0FBD">
      <w:pPr>
        <w:pStyle w:val="PargrafodaLista"/>
        <w:numPr>
          <w:ilvl w:val="1"/>
          <w:numId w:val="9"/>
        </w:numPr>
        <w:rPr>
          <w:rFonts w:eastAsiaTheme="minorEastAsia"/>
          <w:sz w:val="24"/>
          <w:szCs w:val="24"/>
        </w:rPr>
      </w:pPr>
      <w:r w:rsidRPr="4F2C0FBD">
        <w:rPr>
          <w:rFonts w:eastAsiaTheme="minorEastAsia"/>
          <w:sz w:val="24"/>
          <w:szCs w:val="24"/>
        </w:rPr>
        <w:t>64 Portas FC de 8 Gbps;</w:t>
      </w:r>
    </w:p>
    <w:p w14:paraId="50D5BA31" w14:textId="77777777" w:rsidR="008472C0" w:rsidRPr="009B7685" w:rsidRDefault="4F2C0FBD" w:rsidP="4F2C0FBD">
      <w:pPr>
        <w:pStyle w:val="PargrafodaLista"/>
        <w:numPr>
          <w:ilvl w:val="1"/>
          <w:numId w:val="9"/>
        </w:numPr>
        <w:rPr>
          <w:rFonts w:eastAsiaTheme="minorEastAsia"/>
          <w:sz w:val="24"/>
          <w:szCs w:val="24"/>
        </w:rPr>
      </w:pPr>
      <w:r w:rsidRPr="4F2C0FBD">
        <w:rPr>
          <w:rFonts w:eastAsiaTheme="minorEastAsia"/>
          <w:sz w:val="24"/>
          <w:szCs w:val="24"/>
        </w:rPr>
        <w:t>581 TB líquidos – Mix de Discos;</w:t>
      </w:r>
    </w:p>
    <w:p w14:paraId="3254C8E3" w14:textId="53715984" w:rsidR="008472C0" w:rsidRPr="00092C05" w:rsidRDefault="4F2C0FBD" w:rsidP="4F2C0FBD">
      <w:pPr>
        <w:ind w:firstLine="567"/>
        <w:jc w:val="both"/>
        <w:rPr>
          <w:rFonts w:eastAsiaTheme="minorEastAsia"/>
          <w:color w:val="FF0000"/>
          <w:sz w:val="24"/>
          <w:szCs w:val="24"/>
        </w:rPr>
      </w:pPr>
      <w:r w:rsidRPr="4F2C0FBD">
        <w:rPr>
          <w:rFonts w:eastAsiaTheme="minorEastAsia"/>
          <w:sz w:val="24"/>
          <w:szCs w:val="24"/>
        </w:rPr>
        <w:t>Os equipamentos VSP G1000, com capacidade de armazenamento de 581 TB (</w:t>
      </w:r>
      <w:r w:rsidRPr="00ED1A87">
        <w:rPr>
          <w:rFonts w:eastAsiaTheme="minorEastAsia"/>
          <w:sz w:val="24"/>
          <w:szCs w:val="24"/>
        </w:rPr>
        <w:t>quinhentos e oitenta e um Terabytes) em cada Datacenter, possuem garantia do fabricante até 30 de junho de 2021 (Contrato 58/2018 TJ). Atualmente, mensura-se uma taxa de utilização de aproximadamente 83% ou 483 TB (quatrocentos e oitenta e três Terabytes).</w:t>
      </w:r>
    </w:p>
    <w:p w14:paraId="79AB7332" w14:textId="77777777" w:rsidR="008472C0" w:rsidRPr="009B7685" w:rsidRDefault="4F2C0FBD" w:rsidP="4F2C0FBD">
      <w:pPr>
        <w:ind w:firstLine="567"/>
        <w:jc w:val="both"/>
        <w:rPr>
          <w:rFonts w:eastAsiaTheme="minorEastAsia"/>
          <w:sz w:val="24"/>
          <w:szCs w:val="24"/>
        </w:rPr>
      </w:pPr>
      <w:r w:rsidRPr="4F2C0FBD">
        <w:rPr>
          <w:rFonts w:eastAsiaTheme="minorEastAsia"/>
          <w:sz w:val="24"/>
          <w:szCs w:val="24"/>
        </w:rPr>
        <w:t>Cabe destacar que a atual solução de s</w:t>
      </w:r>
      <w:r w:rsidRPr="4F2C0FBD">
        <w:rPr>
          <w:rFonts w:eastAsiaTheme="minorEastAsia"/>
          <w:i/>
          <w:iCs/>
          <w:sz w:val="24"/>
          <w:szCs w:val="24"/>
        </w:rPr>
        <w:t>torage</w:t>
      </w:r>
      <w:r w:rsidRPr="4F2C0FBD">
        <w:rPr>
          <w:rFonts w:eastAsiaTheme="minorEastAsia"/>
          <w:sz w:val="24"/>
          <w:szCs w:val="24"/>
        </w:rPr>
        <w:t xml:space="preserve"> deste PJMT teve uma redução na capacidade de armazenamento de dados de 464 TB (quatrocentos e sessenta e quatro Terabytes), ante a nova destinação dos 02 (dois) equipamentos VSP, adquiridos pelo Contrato 48/2012 CNJ, cujo serviço de garantia e suporte encerrou em 28/02/2018. A opção de não renovação desses serviços se pautou, principalmente, na formalização da fabricante quanto ao fim da prestação de serviços para essa tecnologia, conforme detalhado nos Estudos Preliminares do Contrato 58/2018 TJ. </w:t>
      </w:r>
    </w:p>
    <w:p w14:paraId="416F30FC" w14:textId="3E83F718" w:rsidR="008472C0" w:rsidRPr="009B7685" w:rsidRDefault="4F2C0FBD" w:rsidP="4F2C0FBD">
      <w:pPr>
        <w:ind w:firstLine="567"/>
        <w:jc w:val="both"/>
        <w:rPr>
          <w:rFonts w:eastAsiaTheme="minorEastAsia"/>
          <w:sz w:val="24"/>
          <w:szCs w:val="24"/>
        </w:rPr>
      </w:pPr>
      <w:r w:rsidRPr="4F2C0FBD">
        <w:rPr>
          <w:rFonts w:eastAsiaTheme="minorEastAsia"/>
          <w:sz w:val="24"/>
          <w:szCs w:val="24"/>
        </w:rPr>
        <w:t xml:space="preserve">Contudo, apesar de já não mais terem suporte pelo fabricante, os equipamentos VSP encontram-se em boas condições de utilização, mas não para armazenamento de dados críticos, e continuam em seus respectivos Datacenters, ocupando, fisicamente, também o espaço de 2 (dois) armários cada um, tal como os VSP G1000. Assim, importante salientar que os armários desses equipamentos VSP sem garantia deverão ser retirados dos respectivos </w:t>
      </w:r>
      <w:r w:rsidRPr="00ED1A87">
        <w:rPr>
          <w:rFonts w:eastAsiaTheme="minorEastAsia"/>
          <w:sz w:val="24"/>
          <w:szCs w:val="24"/>
        </w:rPr>
        <w:t>Datacenters, e realocados no antigo Datacenter do Fórum da Capital, para que haja espaço para novos equipamentos.</w:t>
      </w:r>
      <w:r w:rsidR="004F1C5C" w:rsidRPr="00ED1A87">
        <w:rPr>
          <w:rFonts w:eastAsiaTheme="minorEastAsia"/>
          <w:sz w:val="24"/>
          <w:szCs w:val="24"/>
        </w:rPr>
        <w:t xml:space="preserve"> </w:t>
      </w:r>
    </w:p>
    <w:p w14:paraId="61B71C12" w14:textId="3DD5DC21" w:rsidR="008472C0" w:rsidRPr="009B7685" w:rsidRDefault="4F2C0FBD" w:rsidP="4F2C0FBD">
      <w:pPr>
        <w:ind w:firstLine="567"/>
        <w:jc w:val="both"/>
        <w:rPr>
          <w:rFonts w:eastAsiaTheme="minorEastAsia"/>
          <w:sz w:val="24"/>
          <w:szCs w:val="24"/>
        </w:rPr>
      </w:pPr>
      <w:r w:rsidRPr="4F2C0FBD">
        <w:rPr>
          <w:rFonts w:eastAsiaTheme="minorEastAsia"/>
          <w:sz w:val="24"/>
          <w:szCs w:val="24"/>
        </w:rPr>
        <w:t xml:space="preserve">O </w:t>
      </w:r>
      <w:r w:rsidRPr="4F2C0FBD">
        <w:rPr>
          <w:rFonts w:eastAsiaTheme="minorEastAsia"/>
          <w:i/>
          <w:iCs/>
          <w:sz w:val="24"/>
          <w:szCs w:val="24"/>
        </w:rPr>
        <w:t>moving</w:t>
      </w:r>
      <w:r w:rsidRPr="4F2C0FBD">
        <w:rPr>
          <w:rFonts w:eastAsiaTheme="minorEastAsia"/>
          <w:sz w:val="24"/>
          <w:szCs w:val="24"/>
        </w:rPr>
        <w:t xml:space="preserve"> dos Storages VSP se faz necessário não somente para disponibilização de espaço físico para acondicionar os equipamentos pretendidos nesta contratação, mas também pelo fato de que os mesmos continuarão em utilização, contudo, em uma nova atribuição, disponibilizando sua área de armazenamento para testes e laboratórios </w:t>
      </w:r>
      <w:r w:rsidR="004F1C5C">
        <w:rPr>
          <w:rFonts w:eastAsiaTheme="minorEastAsia"/>
          <w:sz w:val="24"/>
          <w:szCs w:val="24"/>
        </w:rPr>
        <w:t>de</w:t>
      </w:r>
      <w:r w:rsidRPr="4F2C0FBD">
        <w:rPr>
          <w:rFonts w:eastAsiaTheme="minorEastAsia"/>
          <w:sz w:val="24"/>
          <w:szCs w:val="24"/>
        </w:rPr>
        <w:t xml:space="preserve"> inovação da CTI. </w:t>
      </w:r>
    </w:p>
    <w:p w14:paraId="48BCC74A" w14:textId="77777777" w:rsidR="008472C0" w:rsidRPr="009B7685" w:rsidRDefault="4F2C0FBD" w:rsidP="4F2C0FBD">
      <w:pPr>
        <w:ind w:firstLine="567"/>
        <w:jc w:val="both"/>
        <w:rPr>
          <w:rFonts w:eastAsiaTheme="minorEastAsia"/>
          <w:sz w:val="24"/>
          <w:szCs w:val="24"/>
        </w:rPr>
      </w:pPr>
      <w:r w:rsidRPr="4F2C0FBD">
        <w:rPr>
          <w:rFonts w:eastAsiaTheme="minorEastAsia"/>
          <w:sz w:val="24"/>
          <w:szCs w:val="24"/>
        </w:rPr>
        <w:t xml:space="preserve">Por fim, além dos equipamentos supracitados, este Poder Judiciário ainda possui os Storages AMS 1000, que hoje encontram-se desligados (sem utilização) e acondicionados no antigo Datacenter do Fórum da Capital, os quais precisam ser </w:t>
      </w:r>
      <w:r w:rsidRPr="4F2C0FBD">
        <w:rPr>
          <w:rFonts w:eastAsiaTheme="minorEastAsia"/>
          <w:sz w:val="24"/>
          <w:szCs w:val="24"/>
        </w:rPr>
        <w:lastRenderedPageBreak/>
        <w:t>encaminhados à Coordenadoria Administrativa - Departamento de Material e Patrimônio, para doação.</w:t>
      </w:r>
    </w:p>
    <w:p w14:paraId="0D36392D" w14:textId="77777777" w:rsidR="008472C0" w:rsidRPr="009B7685" w:rsidRDefault="008472C0" w:rsidP="4F2C0FBD">
      <w:pPr>
        <w:pStyle w:val="Ttulo2"/>
        <w:rPr>
          <w:rFonts w:asciiTheme="minorHAnsi" w:eastAsiaTheme="minorEastAsia" w:hAnsiTheme="minorHAnsi" w:cstheme="minorBidi"/>
        </w:rPr>
      </w:pPr>
      <w:bookmarkStart w:id="3" w:name="_Ref489283403"/>
      <w:bookmarkStart w:id="4" w:name="_Toc534884798"/>
      <w:r w:rsidRPr="4F2C0FBD">
        <w:rPr>
          <w:rFonts w:asciiTheme="minorHAnsi" w:eastAsiaTheme="minorEastAsia" w:hAnsiTheme="minorHAnsi" w:cstheme="minorBidi"/>
        </w:rPr>
        <w:t>Definição e Especificação dos Requisitos da Demanda (Art. 14, I)</w:t>
      </w:r>
      <w:bookmarkEnd w:id="3"/>
      <w:bookmarkEnd w:id="4"/>
    </w:p>
    <w:p w14:paraId="743C3E46"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A aquisição de </w:t>
      </w:r>
      <w:r w:rsidRPr="4F2C0FBD">
        <w:rPr>
          <w:rFonts w:eastAsiaTheme="minorEastAsia"/>
          <w:i/>
          <w:iCs/>
          <w:sz w:val="24"/>
          <w:szCs w:val="24"/>
        </w:rPr>
        <w:t>storage</w:t>
      </w:r>
      <w:r w:rsidRPr="4F2C0FBD">
        <w:rPr>
          <w:rFonts w:eastAsiaTheme="minorEastAsia"/>
          <w:sz w:val="24"/>
          <w:szCs w:val="24"/>
        </w:rPr>
        <w:t>, com suporte técnico e garantia, tem como premissa principal a necessidade de expansão da capacidade de armazenamento de dados do PJMT.</w:t>
      </w:r>
    </w:p>
    <w:p w14:paraId="462DF5D8"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Em análise do relatório de classificação de dados gerado em julho de 2018, foi constatado que na utilização do VSP G1000, aproximadamente 78% do volume analisado é composto por dados não modificados a pelo menos um ano (dados “frios”) ou de conteúdo fixo. </w:t>
      </w:r>
    </w:p>
    <w:p w14:paraId="6C3D4764" w14:textId="77777777" w:rsidR="008472C0" w:rsidRPr="009B7685" w:rsidRDefault="008472C0" w:rsidP="008472C0">
      <w:pPr>
        <w:ind w:firstLine="709"/>
        <w:jc w:val="both"/>
        <w:rPr>
          <w:rFonts w:cstheme="minorHAnsi"/>
          <w:sz w:val="24"/>
          <w:szCs w:val="24"/>
        </w:rPr>
      </w:pPr>
      <w:r w:rsidRPr="009B7685">
        <w:rPr>
          <w:rFonts w:cstheme="minorHAnsi"/>
          <w:noProof/>
        </w:rPr>
        <w:drawing>
          <wp:inline distT="0" distB="0" distL="0" distR="0" wp14:anchorId="379E9997" wp14:editId="5A77080D">
            <wp:extent cx="4391025" cy="2638267"/>
            <wp:effectExtent l="0" t="0" r="0" b="0"/>
            <wp:docPr id="9721023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391025" cy="2638267"/>
                    </a:xfrm>
                    <a:prstGeom prst="rect">
                      <a:avLst/>
                    </a:prstGeom>
                  </pic:spPr>
                </pic:pic>
              </a:graphicData>
            </a:graphic>
          </wp:inline>
        </w:drawing>
      </w:r>
    </w:p>
    <w:p w14:paraId="05E8C510" w14:textId="77777777" w:rsidR="008472C0" w:rsidRPr="009B7685" w:rsidRDefault="4F2C0FBD" w:rsidP="4F2C0FBD">
      <w:pPr>
        <w:pStyle w:val="Legenda"/>
        <w:rPr>
          <w:rFonts w:eastAsiaTheme="minorEastAsia"/>
          <w:sz w:val="24"/>
          <w:szCs w:val="24"/>
        </w:rPr>
      </w:pPr>
      <w:r w:rsidRPr="4F2C0FBD">
        <w:rPr>
          <w:rFonts w:eastAsiaTheme="minorEastAsia"/>
          <w:sz w:val="18"/>
        </w:rPr>
        <w:t>Figura 1 – Gráfico de prazo de modificação de arquivos armazenados</w:t>
      </w:r>
    </w:p>
    <w:p w14:paraId="4DDCA27F"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Outro dado relevante deste levantamento está relacionado ao tipo de dado armazenado em nossos sistemas de arquivos (</w:t>
      </w:r>
      <w:r w:rsidRPr="4F2C0FBD">
        <w:rPr>
          <w:rFonts w:eastAsiaTheme="minorEastAsia"/>
          <w:i/>
          <w:iCs/>
          <w:sz w:val="24"/>
          <w:szCs w:val="24"/>
        </w:rPr>
        <w:t>file servers</w:t>
      </w:r>
      <w:r w:rsidRPr="4F2C0FBD">
        <w:rPr>
          <w:rFonts w:eastAsiaTheme="minorEastAsia"/>
          <w:sz w:val="24"/>
          <w:szCs w:val="24"/>
        </w:rPr>
        <w:t xml:space="preserve">), no qual evidencia-se que aproximadamente 70% desses arquivos são não editáveis, e que, portanto, não sofrerão alteração enquanto existirem. </w:t>
      </w:r>
    </w:p>
    <w:p w14:paraId="2452B802" w14:textId="77777777" w:rsidR="008472C0" w:rsidRPr="009B7685" w:rsidRDefault="008472C0" w:rsidP="008472C0">
      <w:pPr>
        <w:ind w:firstLine="709"/>
        <w:jc w:val="both"/>
        <w:rPr>
          <w:rFonts w:cstheme="minorHAnsi"/>
          <w:sz w:val="24"/>
          <w:szCs w:val="24"/>
        </w:rPr>
      </w:pPr>
    </w:p>
    <w:p w14:paraId="1469DE59" w14:textId="77777777" w:rsidR="008472C0" w:rsidRPr="009B7685" w:rsidRDefault="008472C0" w:rsidP="008472C0">
      <w:pPr>
        <w:ind w:firstLine="709"/>
        <w:jc w:val="both"/>
        <w:rPr>
          <w:rFonts w:cstheme="minorHAnsi"/>
          <w:sz w:val="24"/>
          <w:szCs w:val="24"/>
        </w:rPr>
      </w:pPr>
      <w:r w:rsidRPr="009B7685">
        <w:rPr>
          <w:rFonts w:cstheme="minorHAnsi"/>
          <w:noProof/>
        </w:rPr>
        <w:drawing>
          <wp:inline distT="0" distB="0" distL="0" distR="0" wp14:anchorId="237CBE87" wp14:editId="03A618CA">
            <wp:extent cx="4314825" cy="2606873"/>
            <wp:effectExtent l="0" t="0" r="0" b="3175"/>
            <wp:docPr id="1836424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314825" cy="2606873"/>
                    </a:xfrm>
                    <a:prstGeom prst="rect">
                      <a:avLst/>
                    </a:prstGeom>
                  </pic:spPr>
                </pic:pic>
              </a:graphicData>
            </a:graphic>
          </wp:inline>
        </w:drawing>
      </w:r>
    </w:p>
    <w:p w14:paraId="3C83C9F5" w14:textId="77777777" w:rsidR="008472C0" w:rsidRPr="009B7685" w:rsidRDefault="4F2C0FBD" w:rsidP="4F2C0FBD">
      <w:pPr>
        <w:pStyle w:val="Legenda"/>
        <w:rPr>
          <w:rFonts w:eastAsiaTheme="minorEastAsia"/>
          <w:sz w:val="18"/>
        </w:rPr>
      </w:pPr>
      <w:r w:rsidRPr="4F2C0FBD">
        <w:rPr>
          <w:rFonts w:eastAsiaTheme="minorEastAsia"/>
          <w:sz w:val="18"/>
        </w:rPr>
        <w:lastRenderedPageBreak/>
        <w:t>Figura 2 – Gráfico de tipo de arquivo armazenado</w:t>
      </w:r>
    </w:p>
    <w:p w14:paraId="26E79CBD" w14:textId="4DD4B6E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Portanto, é fato afirmar que 70% dos dados críticos deste PJMT poderiam ser armazenados em soluções menos performáticas que os Storages VSP G1000, que possuem porte High-End, equipamentos estes destinados </w:t>
      </w:r>
      <w:r w:rsidR="000055F1">
        <w:rPr>
          <w:rFonts w:eastAsiaTheme="minorEastAsia"/>
          <w:sz w:val="24"/>
          <w:szCs w:val="24"/>
        </w:rPr>
        <w:t>a</w:t>
      </w:r>
      <w:r w:rsidRPr="4F2C0FBD">
        <w:rPr>
          <w:rFonts w:eastAsiaTheme="minorEastAsia"/>
          <w:sz w:val="24"/>
          <w:szCs w:val="24"/>
        </w:rPr>
        <w:t xml:space="preserve"> operações de alto índice de escrita e leitura constantes, como é o caso de banco de dados críticos e B.I. </w:t>
      </w:r>
    </w:p>
    <w:p w14:paraId="1E74C53F"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Este universo de 300 TB (os 70% mencionados anteriormente) de dados não estruturados são compostos, basicamente, por arquivos de sistemas (</w:t>
      </w:r>
      <w:r w:rsidRPr="4F2C0FBD">
        <w:rPr>
          <w:rFonts w:eastAsiaTheme="minorEastAsia"/>
          <w:i/>
          <w:iCs/>
          <w:sz w:val="24"/>
          <w:szCs w:val="24"/>
        </w:rPr>
        <w:t>file servers</w:t>
      </w:r>
      <w:r w:rsidRPr="4F2C0FBD">
        <w:rPr>
          <w:rFonts w:eastAsiaTheme="minorEastAsia"/>
          <w:sz w:val="24"/>
          <w:szCs w:val="24"/>
        </w:rPr>
        <w:t>), bancos de dados, arquivos de texto, vídeos, entre outros em um ambiente 100% virtualizado na plataforma VMWare.</w:t>
      </w:r>
    </w:p>
    <w:p w14:paraId="00BFB96A"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Tal informação indica uma real possibilidade de segmentação do perfil de storage utilizado para armazenamento, na intenção de um melhor aproveitamento do equipamento e retorno do investimento.</w:t>
      </w:r>
    </w:p>
    <w:p w14:paraId="5638BB79"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Em relatório extraído do sistema de monitoramento do próprio VSP G1000, evidencia-se que as Taxas de IOPS (Escrita e Leitura por Segundo) apresentam tendências de crescimento (considerando o crescimento do ambiente e a capacidade de processamento de dados, com a instalação dos novos servidores adquiridos no Contrato 113/2018 TJ).</w:t>
      </w:r>
    </w:p>
    <w:p w14:paraId="597CF1FD"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Também é possível consolidar a latência média da solução de armazenamento de dados, no ano de 2018, conforme tabela abaixo, tal qual a figura 5:</w:t>
      </w:r>
    </w:p>
    <w:p w14:paraId="295C64D5" w14:textId="77777777" w:rsidR="008472C0" w:rsidRPr="009B7685" w:rsidRDefault="008472C0" w:rsidP="008472C0">
      <w:pPr>
        <w:ind w:firstLine="709"/>
        <w:jc w:val="both"/>
        <w:rPr>
          <w:rFonts w:cstheme="minorHAnsi"/>
          <w:sz w:val="24"/>
          <w:szCs w:val="24"/>
        </w:rPr>
      </w:pPr>
    </w:p>
    <w:tbl>
      <w:tblPr>
        <w:tblW w:w="8359" w:type="dxa"/>
        <w:tblCellMar>
          <w:left w:w="70" w:type="dxa"/>
          <w:right w:w="70" w:type="dxa"/>
        </w:tblCellMar>
        <w:tblLook w:val="04A0" w:firstRow="1" w:lastRow="0" w:firstColumn="1" w:lastColumn="0" w:noHBand="0" w:noVBand="1"/>
      </w:tblPr>
      <w:tblGrid>
        <w:gridCol w:w="1840"/>
        <w:gridCol w:w="1983"/>
        <w:gridCol w:w="2126"/>
        <w:gridCol w:w="2410"/>
      </w:tblGrid>
      <w:tr w:rsidR="008472C0" w:rsidRPr="009B7685" w14:paraId="4634C5B1" w14:textId="77777777" w:rsidTr="4F2C0FBD">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504C3" w14:textId="77777777" w:rsidR="008472C0" w:rsidRPr="009B7685" w:rsidRDefault="4F2C0FBD" w:rsidP="4F2C0FBD">
            <w:pPr>
              <w:spacing w:line="240" w:lineRule="auto"/>
              <w:rPr>
                <w:rFonts w:eastAsiaTheme="minorEastAsia"/>
                <w:color w:val="000000" w:themeColor="text1"/>
              </w:rPr>
            </w:pPr>
            <w:r w:rsidRPr="4F2C0FBD">
              <w:rPr>
                <w:rFonts w:eastAsiaTheme="minorEastAsia"/>
                <w:color w:val="000000" w:themeColor="text1"/>
              </w:rPr>
              <w:t> </w:t>
            </w:r>
          </w:p>
        </w:tc>
        <w:tc>
          <w:tcPr>
            <w:tcW w:w="65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E48E52"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Latência</w:t>
            </w:r>
          </w:p>
        </w:tc>
      </w:tr>
      <w:tr w:rsidR="008472C0" w:rsidRPr="009B7685" w14:paraId="05C8F2C7" w14:textId="77777777" w:rsidTr="4F2C0FB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190F256"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Período</w:t>
            </w:r>
          </w:p>
        </w:tc>
        <w:tc>
          <w:tcPr>
            <w:tcW w:w="1983" w:type="dxa"/>
            <w:tcBorders>
              <w:top w:val="nil"/>
              <w:left w:val="nil"/>
              <w:bottom w:val="single" w:sz="4" w:space="0" w:color="auto"/>
              <w:right w:val="single" w:sz="4" w:space="0" w:color="auto"/>
            </w:tcBorders>
            <w:shd w:val="clear" w:color="auto" w:fill="auto"/>
            <w:noWrap/>
            <w:vAlign w:val="bottom"/>
            <w:hideMark/>
          </w:tcPr>
          <w:p w14:paraId="60ADC1AE"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I.O. (ms)</w:t>
            </w:r>
          </w:p>
        </w:tc>
        <w:tc>
          <w:tcPr>
            <w:tcW w:w="2126" w:type="dxa"/>
            <w:tcBorders>
              <w:top w:val="nil"/>
              <w:left w:val="nil"/>
              <w:bottom w:val="single" w:sz="4" w:space="0" w:color="auto"/>
              <w:right w:val="single" w:sz="4" w:space="0" w:color="auto"/>
            </w:tcBorders>
            <w:shd w:val="clear" w:color="auto" w:fill="auto"/>
            <w:noWrap/>
            <w:vAlign w:val="bottom"/>
            <w:hideMark/>
          </w:tcPr>
          <w:p w14:paraId="04EC148B"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Read (ms)</w:t>
            </w:r>
          </w:p>
        </w:tc>
        <w:tc>
          <w:tcPr>
            <w:tcW w:w="2410" w:type="dxa"/>
            <w:tcBorders>
              <w:top w:val="nil"/>
              <w:left w:val="nil"/>
              <w:bottom w:val="single" w:sz="4" w:space="0" w:color="auto"/>
              <w:right w:val="single" w:sz="4" w:space="0" w:color="auto"/>
            </w:tcBorders>
            <w:shd w:val="clear" w:color="auto" w:fill="auto"/>
            <w:noWrap/>
            <w:vAlign w:val="bottom"/>
            <w:hideMark/>
          </w:tcPr>
          <w:p w14:paraId="6FDCD449"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Write (ms)</w:t>
            </w:r>
          </w:p>
        </w:tc>
      </w:tr>
      <w:tr w:rsidR="008472C0" w:rsidRPr="009B7685" w14:paraId="471A6C3A" w14:textId="77777777" w:rsidTr="4F2C0FB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9167252"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1º Tri</w:t>
            </w:r>
          </w:p>
        </w:tc>
        <w:tc>
          <w:tcPr>
            <w:tcW w:w="1983" w:type="dxa"/>
            <w:tcBorders>
              <w:top w:val="nil"/>
              <w:left w:val="nil"/>
              <w:bottom w:val="single" w:sz="4" w:space="0" w:color="auto"/>
              <w:right w:val="single" w:sz="4" w:space="0" w:color="auto"/>
            </w:tcBorders>
            <w:shd w:val="clear" w:color="auto" w:fill="auto"/>
            <w:noWrap/>
            <w:vAlign w:val="bottom"/>
            <w:hideMark/>
          </w:tcPr>
          <w:p w14:paraId="3D2C65D7"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1,00</w:t>
            </w:r>
          </w:p>
        </w:tc>
        <w:tc>
          <w:tcPr>
            <w:tcW w:w="2126" w:type="dxa"/>
            <w:tcBorders>
              <w:top w:val="nil"/>
              <w:left w:val="nil"/>
              <w:bottom w:val="single" w:sz="4" w:space="0" w:color="auto"/>
              <w:right w:val="single" w:sz="4" w:space="0" w:color="auto"/>
            </w:tcBorders>
            <w:shd w:val="clear" w:color="auto" w:fill="auto"/>
            <w:noWrap/>
            <w:vAlign w:val="bottom"/>
            <w:hideMark/>
          </w:tcPr>
          <w:p w14:paraId="6B4BCFD4"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1,40</w:t>
            </w:r>
          </w:p>
        </w:tc>
        <w:tc>
          <w:tcPr>
            <w:tcW w:w="2410" w:type="dxa"/>
            <w:tcBorders>
              <w:top w:val="nil"/>
              <w:left w:val="nil"/>
              <w:bottom w:val="single" w:sz="4" w:space="0" w:color="auto"/>
              <w:right w:val="single" w:sz="4" w:space="0" w:color="auto"/>
            </w:tcBorders>
            <w:shd w:val="clear" w:color="auto" w:fill="auto"/>
            <w:noWrap/>
            <w:vAlign w:val="bottom"/>
            <w:hideMark/>
          </w:tcPr>
          <w:p w14:paraId="5670F957"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0,70</w:t>
            </w:r>
          </w:p>
        </w:tc>
      </w:tr>
      <w:tr w:rsidR="008472C0" w:rsidRPr="009B7685" w14:paraId="42A48DEB" w14:textId="77777777" w:rsidTr="4F2C0FB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BB6BCF1"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2º Tri</w:t>
            </w:r>
          </w:p>
        </w:tc>
        <w:tc>
          <w:tcPr>
            <w:tcW w:w="1983" w:type="dxa"/>
            <w:tcBorders>
              <w:top w:val="nil"/>
              <w:left w:val="nil"/>
              <w:bottom w:val="single" w:sz="4" w:space="0" w:color="auto"/>
              <w:right w:val="single" w:sz="4" w:space="0" w:color="auto"/>
            </w:tcBorders>
            <w:shd w:val="clear" w:color="auto" w:fill="auto"/>
            <w:noWrap/>
            <w:vAlign w:val="bottom"/>
            <w:hideMark/>
          </w:tcPr>
          <w:p w14:paraId="0C7B5B85"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1,11</w:t>
            </w:r>
          </w:p>
        </w:tc>
        <w:tc>
          <w:tcPr>
            <w:tcW w:w="2126" w:type="dxa"/>
            <w:tcBorders>
              <w:top w:val="nil"/>
              <w:left w:val="nil"/>
              <w:bottom w:val="single" w:sz="4" w:space="0" w:color="auto"/>
              <w:right w:val="single" w:sz="4" w:space="0" w:color="auto"/>
            </w:tcBorders>
            <w:shd w:val="clear" w:color="auto" w:fill="auto"/>
            <w:noWrap/>
            <w:vAlign w:val="bottom"/>
            <w:hideMark/>
          </w:tcPr>
          <w:p w14:paraId="7372BB5B"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1,39</w:t>
            </w:r>
          </w:p>
        </w:tc>
        <w:tc>
          <w:tcPr>
            <w:tcW w:w="2410" w:type="dxa"/>
            <w:tcBorders>
              <w:top w:val="nil"/>
              <w:left w:val="nil"/>
              <w:bottom w:val="single" w:sz="4" w:space="0" w:color="auto"/>
              <w:right w:val="single" w:sz="4" w:space="0" w:color="auto"/>
            </w:tcBorders>
            <w:shd w:val="clear" w:color="auto" w:fill="auto"/>
            <w:noWrap/>
            <w:vAlign w:val="bottom"/>
            <w:hideMark/>
          </w:tcPr>
          <w:p w14:paraId="138A7B30"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0,91</w:t>
            </w:r>
          </w:p>
        </w:tc>
      </w:tr>
      <w:tr w:rsidR="008472C0" w:rsidRPr="009B7685" w14:paraId="3F6FD41F" w14:textId="77777777" w:rsidTr="4F2C0FB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DE55407"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3º Tri</w:t>
            </w:r>
          </w:p>
        </w:tc>
        <w:tc>
          <w:tcPr>
            <w:tcW w:w="1983" w:type="dxa"/>
            <w:tcBorders>
              <w:top w:val="nil"/>
              <w:left w:val="nil"/>
              <w:bottom w:val="single" w:sz="4" w:space="0" w:color="auto"/>
              <w:right w:val="single" w:sz="4" w:space="0" w:color="auto"/>
            </w:tcBorders>
            <w:shd w:val="clear" w:color="auto" w:fill="auto"/>
            <w:noWrap/>
            <w:vAlign w:val="bottom"/>
            <w:hideMark/>
          </w:tcPr>
          <w:p w14:paraId="21D55A59"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0,88</w:t>
            </w:r>
          </w:p>
        </w:tc>
        <w:tc>
          <w:tcPr>
            <w:tcW w:w="2126" w:type="dxa"/>
            <w:tcBorders>
              <w:top w:val="nil"/>
              <w:left w:val="nil"/>
              <w:bottom w:val="single" w:sz="4" w:space="0" w:color="auto"/>
              <w:right w:val="single" w:sz="4" w:space="0" w:color="auto"/>
            </w:tcBorders>
            <w:shd w:val="clear" w:color="auto" w:fill="auto"/>
            <w:noWrap/>
            <w:vAlign w:val="bottom"/>
            <w:hideMark/>
          </w:tcPr>
          <w:p w14:paraId="10F7DEF4"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1,08</w:t>
            </w:r>
          </w:p>
        </w:tc>
        <w:tc>
          <w:tcPr>
            <w:tcW w:w="2410" w:type="dxa"/>
            <w:tcBorders>
              <w:top w:val="nil"/>
              <w:left w:val="nil"/>
              <w:bottom w:val="single" w:sz="4" w:space="0" w:color="auto"/>
              <w:right w:val="single" w:sz="4" w:space="0" w:color="auto"/>
            </w:tcBorders>
            <w:shd w:val="clear" w:color="auto" w:fill="auto"/>
            <w:noWrap/>
            <w:vAlign w:val="bottom"/>
            <w:hideMark/>
          </w:tcPr>
          <w:p w14:paraId="1030E938"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0,72</w:t>
            </w:r>
          </w:p>
        </w:tc>
      </w:tr>
      <w:tr w:rsidR="008472C0" w:rsidRPr="009B7685" w14:paraId="436F4352" w14:textId="77777777" w:rsidTr="4F2C0FB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0298DBE"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4º Tri</w:t>
            </w:r>
          </w:p>
        </w:tc>
        <w:tc>
          <w:tcPr>
            <w:tcW w:w="1983" w:type="dxa"/>
            <w:tcBorders>
              <w:top w:val="nil"/>
              <w:left w:val="nil"/>
              <w:bottom w:val="single" w:sz="4" w:space="0" w:color="auto"/>
              <w:right w:val="single" w:sz="4" w:space="0" w:color="auto"/>
            </w:tcBorders>
            <w:shd w:val="clear" w:color="auto" w:fill="auto"/>
            <w:noWrap/>
            <w:vAlign w:val="bottom"/>
            <w:hideMark/>
          </w:tcPr>
          <w:p w14:paraId="152F7BC1"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1,27</w:t>
            </w:r>
          </w:p>
        </w:tc>
        <w:tc>
          <w:tcPr>
            <w:tcW w:w="2126" w:type="dxa"/>
            <w:tcBorders>
              <w:top w:val="nil"/>
              <w:left w:val="nil"/>
              <w:bottom w:val="single" w:sz="4" w:space="0" w:color="auto"/>
              <w:right w:val="single" w:sz="4" w:space="0" w:color="auto"/>
            </w:tcBorders>
            <w:shd w:val="clear" w:color="auto" w:fill="auto"/>
            <w:noWrap/>
            <w:vAlign w:val="bottom"/>
            <w:hideMark/>
          </w:tcPr>
          <w:p w14:paraId="59AB6AC3"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1,66</w:t>
            </w:r>
          </w:p>
        </w:tc>
        <w:tc>
          <w:tcPr>
            <w:tcW w:w="2410" w:type="dxa"/>
            <w:tcBorders>
              <w:top w:val="nil"/>
              <w:left w:val="nil"/>
              <w:bottom w:val="single" w:sz="4" w:space="0" w:color="auto"/>
              <w:right w:val="single" w:sz="4" w:space="0" w:color="auto"/>
            </w:tcBorders>
            <w:shd w:val="clear" w:color="auto" w:fill="auto"/>
            <w:noWrap/>
            <w:vAlign w:val="bottom"/>
            <w:hideMark/>
          </w:tcPr>
          <w:p w14:paraId="202B97E7"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0,90</w:t>
            </w:r>
          </w:p>
        </w:tc>
      </w:tr>
      <w:tr w:rsidR="008472C0" w:rsidRPr="009B7685" w14:paraId="4BC433E1" w14:textId="77777777" w:rsidTr="4F2C0FBD">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E7688CB" w14:textId="77777777" w:rsidR="008472C0" w:rsidRPr="009B7685" w:rsidRDefault="4F2C0FBD" w:rsidP="4F2C0FBD">
            <w:pPr>
              <w:spacing w:line="240" w:lineRule="auto"/>
              <w:jc w:val="center"/>
              <w:rPr>
                <w:rFonts w:eastAsiaTheme="minorEastAsia"/>
                <w:color w:val="000000" w:themeColor="text1"/>
              </w:rPr>
            </w:pPr>
            <w:r w:rsidRPr="4F2C0FBD">
              <w:rPr>
                <w:rFonts w:eastAsiaTheme="minorEastAsia"/>
                <w:color w:val="000000" w:themeColor="text1"/>
              </w:rPr>
              <w:t>Média 2018</w:t>
            </w:r>
          </w:p>
        </w:tc>
        <w:tc>
          <w:tcPr>
            <w:tcW w:w="1983" w:type="dxa"/>
            <w:tcBorders>
              <w:top w:val="nil"/>
              <w:left w:val="nil"/>
              <w:bottom w:val="single" w:sz="4" w:space="0" w:color="auto"/>
              <w:right w:val="single" w:sz="4" w:space="0" w:color="auto"/>
            </w:tcBorders>
            <w:shd w:val="clear" w:color="auto" w:fill="auto"/>
            <w:noWrap/>
            <w:vAlign w:val="bottom"/>
            <w:hideMark/>
          </w:tcPr>
          <w:p w14:paraId="446A8BB8" w14:textId="77777777" w:rsidR="008472C0" w:rsidRPr="009B7685" w:rsidRDefault="4F2C0FBD" w:rsidP="4F2C0FBD">
            <w:pPr>
              <w:spacing w:line="240" w:lineRule="auto"/>
              <w:jc w:val="center"/>
              <w:rPr>
                <w:rFonts w:eastAsiaTheme="minorEastAsia"/>
                <w:b/>
                <w:bCs/>
                <w:color w:val="000000" w:themeColor="text1"/>
              </w:rPr>
            </w:pPr>
            <w:r w:rsidRPr="4F2C0FBD">
              <w:rPr>
                <w:rFonts w:eastAsiaTheme="minorEastAsia"/>
                <w:b/>
                <w:bCs/>
                <w:color w:val="000000" w:themeColor="text1"/>
              </w:rPr>
              <w:t>1,06</w:t>
            </w:r>
          </w:p>
        </w:tc>
        <w:tc>
          <w:tcPr>
            <w:tcW w:w="2126" w:type="dxa"/>
            <w:tcBorders>
              <w:top w:val="nil"/>
              <w:left w:val="nil"/>
              <w:bottom w:val="single" w:sz="4" w:space="0" w:color="auto"/>
              <w:right w:val="single" w:sz="4" w:space="0" w:color="auto"/>
            </w:tcBorders>
            <w:shd w:val="clear" w:color="auto" w:fill="auto"/>
            <w:noWrap/>
            <w:vAlign w:val="bottom"/>
            <w:hideMark/>
          </w:tcPr>
          <w:p w14:paraId="467EDF9F" w14:textId="77777777" w:rsidR="008472C0" w:rsidRPr="009B7685" w:rsidRDefault="4F2C0FBD" w:rsidP="4F2C0FBD">
            <w:pPr>
              <w:spacing w:line="240" w:lineRule="auto"/>
              <w:jc w:val="center"/>
              <w:rPr>
                <w:rFonts w:eastAsiaTheme="minorEastAsia"/>
                <w:b/>
                <w:bCs/>
                <w:color w:val="000000" w:themeColor="text1"/>
              </w:rPr>
            </w:pPr>
            <w:r w:rsidRPr="4F2C0FBD">
              <w:rPr>
                <w:rFonts w:eastAsiaTheme="minorEastAsia"/>
                <w:b/>
                <w:bCs/>
                <w:color w:val="000000" w:themeColor="text1"/>
              </w:rPr>
              <w:t>1,38</w:t>
            </w:r>
          </w:p>
        </w:tc>
        <w:tc>
          <w:tcPr>
            <w:tcW w:w="2410" w:type="dxa"/>
            <w:tcBorders>
              <w:top w:val="nil"/>
              <w:left w:val="nil"/>
              <w:bottom w:val="single" w:sz="4" w:space="0" w:color="auto"/>
              <w:right w:val="single" w:sz="4" w:space="0" w:color="auto"/>
            </w:tcBorders>
            <w:shd w:val="clear" w:color="auto" w:fill="auto"/>
            <w:noWrap/>
            <w:vAlign w:val="bottom"/>
            <w:hideMark/>
          </w:tcPr>
          <w:p w14:paraId="0C559F12" w14:textId="77777777" w:rsidR="008472C0" w:rsidRPr="009B7685" w:rsidRDefault="4F2C0FBD" w:rsidP="4F2C0FBD">
            <w:pPr>
              <w:spacing w:line="240" w:lineRule="auto"/>
              <w:jc w:val="center"/>
              <w:rPr>
                <w:rFonts w:eastAsiaTheme="minorEastAsia"/>
                <w:b/>
                <w:bCs/>
                <w:color w:val="000000" w:themeColor="text1"/>
              </w:rPr>
            </w:pPr>
            <w:r w:rsidRPr="4F2C0FBD">
              <w:rPr>
                <w:rFonts w:eastAsiaTheme="minorEastAsia"/>
                <w:b/>
                <w:bCs/>
                <w:color w:val="000000" w:themeColor="text1"/>
              </w:rPr>
              <w:t>0,81</w:t>
            </w:r>
          </w:p>
        </w:tc>
      </w:tr>
    </w:tbl>
    <w:p w14:paraId="41071D5F" w14:textId="77777777" w:rsidR="008472C0" w:rsidRPr="009B7685" w:rsidRDefault="4F2C0FBD" w:rsidP="4F2C0FBD">
      <w:pPr>
        <w:jc w:val="center"/>
        <w:rPr>
          <w:rFonts w:eastAsiaTheme="minorEastAsia"/>
          <w:b/>
          <w:bCs/>
          <w:color w:val="4F80BD"/>
          <w:sz w:val="18"/>
          <w:szCs w:val="18"/>
        </w:rPr>
      </w:pPr>
      <w:r w:rsidRPr="4F2C0FBD">
        <w:rPr>
          <w:rFonts w:eastAsiaTheme="minorEastAsia"/>
          <w:b/>
          <w:bCs/>
          <w:color w:val="4F80BD"/>
          <w:sz w:val="18"/>
          <w:szCs w:val="18"/>
        </w:rPr>
        <w:t>Tabela 1 – Latência Média dos Storages VSP G1000 em 2018</w:t>
      </w:r>
    </w:p>
    <w:p w14:paraId="48FEAF29" w14:textId="77777777" w:rsidR="008472C0" w:rsidRPr="009B7685" w:rsidRDefault="008472C0" w:rsidP="008472C0">
      <w:pPr>
        <w:rPr>
          <w:rFonts w:cstheme="minorHAnsi"/>
          <w:sz w:val="24"/>
          <w:szCs w:val="24"/>
        </w:rPr>
      </w:pPr>
    </w:p>
    <w:p w14:paraId="6D929614" w14:textId="77777777" w:rsidR="008472C0" w:rsidRPr="009B7685" w:rsidRDefault="008472C0" w:rsidP="008472C0">
      <w:pPr>
        <w:rPr>
          <w:rFonts w:cstheme="minorHAnsi"/>
          <w:sz w:val="24"/>
          <w:szCs w:val="24"/>
        </w:rPr>
      </w:pPr>
    </w:p>
    <w:p w14:paraId="2B946378" w14:textId="77777777" w:rsidR="008472C0" w:rsidRPr="009B7685" w:rsidRDefault="008472C0" w:rsidP="008472C0">
      <w:pPr>
        <w:rPr>
          <w:rFonts w:cstheme="minorHAnsi"/>
          <w:sz w:val="24"/>
          <w:szCs w:val="24"/>
        </w:rPr>
      </w:pPr>
      <w:r w:rsidRPr="009B7685">
        <w:rPr>
          <w:rFonts w:cstheme="minorHAnsi"/>
          <w:noProof/>
        </w:rPr>
        <w:lastRenderedPageBreak/>
        <w:drawing>
          <wp:inline distT="0" distB="0" distL="0" distR="0" wp14:anchorId="1611A566" wp14:editId="3E02ED62">
            <wp:extent cx="5400040" cy="3109595"/>
            <wp:effectExtent l="0" t="0" r="0" b="0"/>
            <wp:docPr id="15866003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400040" cy="3109595"/>
                    </a:xfrm>
                    <a:prstGeom prst="rect">
                      <a:avLst/>
                    </a:prstGeom>
                  </pic:spPr>
                </pic:pic>
              </a:graphicData>
            </a:graphic>
          </wp:inline>
        </w:drawing>
      </w:r>
    </w:p>
    <w:p w14:paraId="76B8C323" w14:textId="77777777" w:rsidR="008472C0" w:rsidRPr="009B7685" w:rsidRDefault="4F2C0FBD" w:rsidP="4F2C0FBD">
      <w:pPr>
        <w:pStyle w:val="Legenda"/>
        <w:rPr>
          <w:rFonts w:eastAsiaTheme="minorEastAsia"/>
          <w:sz w:val="18"/>
        </w:rPr>
      </w:pPr>
      <w:r w:rsidRPr="4F2C0FBD">
        <w:rPr>
          <w:rFonts w:eastAsiaTheme="minorEastAsia"/>
          <w:sz w:val="18"/>
        </w:rPr>
        <w:t xml:space="preserve">Figura 5 – Gráfico de latência dos </w:t>
      </w:r>
      <w:r w:rsidRPr="4F2C0FBD">
        <w:rPr>
          <w:rFonts w:eastAsiaTheme="minorEastAsia"/>
          <w:i/>
          <w:iCs/>
          <w:sz w:val="18"/>
        </w:rPr>
        <w:t>storages</w:t>
      </w:r>
      <w:r w:rsidRPr="4F2C0FBD">
        <w:rPr>
          <w:rFonts w:eastAsiaTheme="minorEastAsia"/>
          <w:sz w:val="18"/>
        </w:rPr>
        <w:t xml:space="preserve"> VSP G1000</w:t>
      </w:r>
    </w:p>
    <w:p w14:paraId="29232009" w14:textId="77777777" w:rsidR="008472C0" w:rsidRPr="009B7685" w:rsidRDefault="008472C0" w:rsidP="008472C0">
      <w:pPr>
        <w:rPr>
          <w:rFonts w:cstheme="minorHAnsi"/>
        </w:rPr>
      </w:pPr>
    </w:p>
    <w:p w14:paraId="4390B8BC" w14:textId="77777777" w:rsidR="008472C0" w:rsidRPr="00226E69" w:rsidRDefault="4F2C0FBD" w:rsidP="4F2C0FBD">
      <w:pPr>
        <w:ind w:firstLine="709"/>
        <w:jc w:val="both"/>
        <w:rPr>
          <w:rFonts w:eastAsiaTheme="minorEastAsia"/>
          <w:sz w:val="24"/>
          <w:szCs w:val="24"/>
        </w:rPr>
      </w:pPr>
      <w:r w:rsidRPr="4F2C0FBD">
        <w:rPr>
          <w:rFonts w:eastAsiaTheme="minorEastAsia"/>
          <w:sz w:val="24"/>
          <w:szCs w:val="24"/>
        </w:rPr>
        <w:t xml:space="preserve">Por fim, o gráfico abaixo demonstra a projeção de crescimento do consumo de espaço de armazenamento de dados, considerando o crescimento natural histórico dos últimos 3 anos, assim como os principais projetos responsáveis pela utilização futura dos </w:t>
      </w:r>
      <w:r w:rsidRPr="4F2C0FBD">
        <w:rPr>
          <w:rFonts w:eastAsiaTheme="minorEastAsia"/>
          <w:i/>
          <w:iCs/>
          <w:sz w:val="24"/>
          <w:szCs w:val="24"/>
        </w:rPr>
        <w:t>storages</w:t>
      </w:r>
      <w:r w:rsidRPr="4F2C0FBD">
        <w:rPr>
          <w:rFonts w:eastAsiaTheme="minorEastAsia"/>
          <w:sz w:val="24"/>
          <w:szCs w:val="24"/>
        </w:rPr>
        <w:t xml:space="preserve"> do PJMT (PJe, Utilização de File Servers, além das demandas reprimidas como Gravação de Audiências, Software do Recursos Humanos, B.I. e Digitalização de Processos). Os dados abaixo foram extraídos de sistema de monitoramento do ambiente deste TJMT e de áreas responsáveis pelos respectivos projetos:</w:t>
      </w:r>
    </w:p>
    <w:p w14:paraId="220BD85E" w14:textId="77777777" w:rsidR="008472C0" w:rsidRPr="009B7685" w:rsidRDefault="008472C0" w:rsidP="008472C0">
      <w:pPr>
        <w:ind w:firstLine="709"/>
        <w:jc w:val="both"/>
        <w:rPr>
          <w:rFonts w:cstheme="minorHAnsi"/>
          <w:sz w:val="24"/>
          <w:szCs w:val="24"/>
        </w:rPr>
      </w:pPr>
    </w:p>
    <w:p w14:paraId="3B786058" w14:textId="77777777" w:rsidR="008472C0" w:rsidRPr="009B7685" w:rsidRDefault="008472C0" w:rsidP="008472C0">
      <w:pPr>
        <w:rPr>
          <w:rFonts w:cstheme="minorHAnsi"/>
          <w:sz w:val="24"/>
          <w:szCs w:val="24"/>
        </w:rPr>
      </w:pPr>
      <w:r w:rsidRPr="009B7685">
        <w:rPr>
          <w:rFonts w:cstheme="minorHAnsi"/>
          <w:noProof/>
        </w:rPr>
        <w:drawing>
          <wp:inline distT="0" distB="0" distL="0" distR="0" wp14:anchorId="11598C57" wp14:editId="3369A0E0">
            <wp:extent cx="5400040" cy="3392170"/>
            <wp:effectExtent l="0" t="0" r="0" b="0"/>
            <wp:docPr id="17863860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400040" cy="3392170"/>
                    </a:xfrm>
                    <a:prstGeom prst="rect">
                      <a:avLst/>
                    </a:prstGeom>
                  </pic:spPr>
                </pic:pic>
              </a:graphicData>
            </a:graphic>
          </wp:inline>
        </w:drawing>
      </w:r>
    </w:p>
    <w:p w14:paraId="1414F3C7" w14:textId="77777777" w:rsidR="008472C0" w:rsidRPr="009B7685" w:rsidRDefault="4F2C0FBD" w:rsidP="4F2C0FBD">
      <w:pPr>
        <w:pStyle w:val="Legenda"/>
        <w:rPr>
          <w:rFonts w:eastAsiaTheme="minorEastAsia"/>
          <w:sz w:val="18"/>
        </w:rPr>
      </w:pPr>
      <w:r w:rsidRPr="4F2C0FBD">
        <w:rPr>
          <w:rFonts w:eastAsiaTheme="minorEastAsia"/>
          <w:sz w:val="18"/>
        </w:rPr>
        <w:t>Figura 6 – Gráfico de Projeção de Armazenamento de Dados</w:t>
      </w:r>
    </w:p>
    <w:p w14:paraId="02D8CAAD" w14:textId="2211E661" w:rsidR="008472C0" w:rsidRPr="009B7685" w:rsidRDefault="4F2C0FBD" w:rsidP="4F2C0FBD">
      <w:pPr>
        <w:ind w:firstLine="709"/>
        <w:jc w:val="both"/>
        <w:rPr>
          <w:rFonts w:eastAsiaTheme="minorEastAsia"/>
          <w:sz w:val="24"/>
          <w:szCs w:val="24"/>
        </w:rPr>
      </w:pPr>
      <w:r w:rsidRPr="4F2C0FBD">
        <w:rPr>
          <w:rFonts w:eastAsiaTheme="minorEastAsia"/>
          <w:sz w:val="24"/>
          <w:szCs w:val="24"/>
        </w:rPr>
        <w:lastRenderedPageBreak/>
        <w:t xml:space="preserve">Considerando a atual capacidade de armazenamento de dados deste PJMT, via Storages VSP </w:t>
      </w:r>
      <w:r w:rsidRPr="00ED1A87">
        <w:rPr>
          <w:rFonts w:eastAsiaTheme="minorEastAsia"/>
          <w:sz w:val="24"/>
          <w:szCs w:val="24"/>
        </w:rPr>
        <w:t>G1000, em menos de 1 (um) ano</w:t>
      </w:r>
      <w:r w:rsidR="000E65CE" w:rsidRPr="00ED1A87">
        <w:rPr>
          <w:rFonts w:eastAsiaTheme="minorEastAsia"/>
          <w:sz w:val="24"/>
          <w:szCs w:val="24"/>
        </w:rPr>
        <w:t xml:space="preserve"> </w:t>
      </w:r>
      <w:r w:rsidRPr="00ED1A87">
        <w:rPr>
          <w:rFonts w:eastAsiaTheme="minorEastAsia"/>
          <w:sz w:val="24"/>
          <w:szCs w:val="24"/>
        </w:rPr>
        <w:t>ter</w:t>
      </w:r>
      <w:r w:rsidRPr="4F2C0FBD">
        <w:rPr>
          <w:rFonts w:eastAsiaTheme="minorEastAsia"/>
          <w:sz w:val="24"/>
          <w:szCs w:val="24"/>
        </w:rPr>
        <w:t>-se-á a parada total do sistema caso não ocorra a presente contratação, visto que com a projeção de crescimento de dados apresentada na figura acima, o armazenamento nesse período chegaria a um patamar que excederia os 581 TB de nossa solução existente.</w:t>
      </w:r>
    </w:p>
    <w:p w14:paraId="51E3F6DC"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É justo afirmar que, com base nos dados apresentados, em 36 (trinta e seis) meses, o volume de dados gerados pelos sistemas deste PJMT provavelmente chegará a um total de, aproximadamente, 1512 Terabytes (um mil quinhentos e doze Terabytes), motivo que demonstra a necessidade de aquisição de nova solução.</w:t>
      </w:r>
    </w:p>
    <w:p w14:paraId="31822F9D"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Nota-se que justamente os arquivos com maior índice de crescimento se enquadram na classificação de dados não estruturados. </w:t>
      </w:r>
    </w:p>
    <w:p w14:paraId="6A6974C5"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Assim, com base nas informações apresentadas, com o fito de otimização do investimento em armazenamento, há de se adquirir uma solução compatível com o perfil de dados apresentados, motivo pelo qual os requisitos da demanda são:</w:t>
      </w:r>
    </w:p>
    <w:p w14:paraId="6AB1A87E" w14:textId="77777777" w:rsidR="008472C0" w:rsidRPr="009B7685" w:rsidRDefault="4F2C0FBD" w:rsidP="4F2C0FBD">
      <w:pPr>
        <w:pStyle w:val="PargrafodaLista"/>
        <w:numPr>
          <w:ilvl w:val="0"/>
          <w:numId w:val="10"/>
        </w:numPr>
        <w:autoSpaceDE w:val="0"/>
        <w:autoSpaceDN w:val="0"/>
        <w:adjustRightInd w:val="0"/>
        <w:rPr>
          <w:rFonts w:eastAsiaTheme="minorEastAsia"/>
          <w:sz w:val="24"/>
          <w:szCs w:val="24"/>
        </w:rPr>
      </w:pPr>
      <w:r w:rsidRPr="4F2C0FBD">
        <w:rPr>
          <w:rFonts w:eastAsiaTheme="minorEastAsia"/>
          <w:sz w:val="24"/>
          <w:szCs w:val="24"/>
        </w:rPr>
        <w:t>Aumento da capacidade de armazenamento de dados do PJMT em 2 PB em cada Datacenter (considerando uma margem de segurança de 30% sobre o volume projetado), de modo a atender, satisfatoriamente, a projeção de crescimento apresentada (figura 6);</w:t>
      </w:r>
    </w:p>
    <w:p w14:paraId="3C99DE70" w14:textId="77777777" w:rsidR="008472C0" w:rsidRDefault="4F2C0FBD" w:rsidP="4F2C0FBD">
      <w:pPr>
        <w:pStyle w:val="PargrafodaLista"/>
        <w:numPr>
          <w:ilvl w:val="0"/>
          <w:numId w:val="10"/>
        </w:numPr>
        <w:autoSpaceDE w:val="0"/>
        <w:autoSpaceDN w:val="0"/>
        <w:adjustRightInd w:val="0"/>
        <w:rPr>
          <w:rFonts w:eastAsiaTheme="minorEastAsia"/>
          <w:sz w:val="24"/>
          <w:szCs w:val="24"/>
        </w:rPr>
      </w:pPr>
      <w:r w:rsidRPr="4F2C0FBD">
        <w:rPr>
          <w:rFonts w:eastAsiaTheme="minorEastAsia"/>
          <w:sz w:val="24"/>
          <w:szCs w:val="24"/>
        </w:rPr>
        <w:t xml:space="preserve">Compatibilidade com solução de </w:t>
      </w:r>
      <w:r w:rsidRPr="4F2C0FBD">
        <w:rPr>
          <w:rFonts w:eastAsiaTheme="minorEastAsia"/>
          <w:i/>
          <w:iCs/>
          <w:sz w:val="24"/>
          <w:szCs w:val="24"/>
        </w:rPr>
        <w:t>storage</w:t>
      </w:r>
      <w:r w:rsidRPr="4F2C0FBD">
        <w:rPr>
          <w:rFonts w:eastAsiaTheme="minorEastAsia"/>
          <w:sz w:val="24"/>
          <w:szCs w:val="24"/>
        </w:rPr>
        <w:t xml:space="preserve"> atual – VSP G1000 (virtualização);</w:t>
      </w:r>
    </w:p>
    <w:p w14:paraId="235970CA" w14:textId="58B11C8F" w:rsidR="005770D2" w:rsidRDefault="005770D2" w:rsidP="4F2C0FBD">
      <w:pPr>
        <w:pStyle w:val="PargrafodaLista"/>
        <w:numPr>
          <w:ilvl w:val="0"/>
          <w:numId w:val="10"/>
        </w:numPr>
        <w:autoSpaceDE w:val="0"/>
        <w:autoSpaceDN w:val="0"/>
        <w:adjustRightInd w:val="0"/>
        <w:rPr>
          <w:rFonts w:eastAsiaTheme="minorEastAsia"/>
          <w:sz w:val="24"/>
          <w:szCs w:val="24"/>
        </w:rPr>
      </w:pPr>
      <w:r>
        <w:rPr>
          <w:rFonts w:eastAsiaTheme="minorEastAsia"/>
          <w:sz w:val="24"/>
          <w:szCs w:val="24"/>
        </w:rPr>
        <w:t>Compatibilidade com os seguintes equipamentos de interconexão de dados do PJMT:</w:t>
      </w:r>
    </w:p>
    <w:p w14:paraId="0C532BB6" w14:textId="52B0F51D" w:rsidR="005770D2" w:rsidRPr="005770D2" w:rsidRDefault="005770D2" w:rsidP="005770D2">
      <w:pPr>
        <w:pStyle w:val="PargrafodaLista"/>
        <w:numPr>
          <w:ilvl w:val="1"/>
          <w:numId w:val="10"/>
        </w:numPr>
        <w:autoSpaceDE w:val="0"/>
        <w:autoSpaceDN w:val="0"/>
        <w:adjustRightInd w:val="0"/>
        <w:rPr>
          <w:rFonts w:eastAsiaTheme="minorEastAsia"/>
          <w:sz w:val="24"/>
          <w:szCs w:val="24"/>
        </w:rPr>
      </w:pPr>
      <w:r w:rsidRPr="005770D2">
        <w:rPr>
          <w:rFonts w:eastAsiaTheme="minorEastAsia"/>
          <w:sz w:val="24"/>
          <w:szCs w:val="24"/>
        </w:rPr>
        <w:t>Switch SAN Brocade DCX8510-4;</w:t>
      </w:r>
    </w:p>
    <w:p w14:paraId="6DC090CC" w14:textId="69B82E94" w:rsidR="005770D2" w:rsidRPr="005770D2" w:rsidRDefault="005770D2" w:rsidP="005770D2">
      <w:pPr>
        <w:pStyle w:val="PargrafodaLista"/>
        <w:numPr>
          <w:ilvl w:val="1"/>
          <w:numId w:val="10"/>
        </w:numPr>
        <w:autoSpaceDE w:val="0"/>
        <w:autoSpaceDN w:val="0"/>
        <w:adjustRightInd w:val="0"/>
        <w:rPr>
          <w:rFonts w:eastAsiaTheme="minorEastAsia"/>
          <w:sz w:val="24"/>
          <w:szCs w:val="24"/>
        </w:rPr>
      </w:pPr>
      <w:r w:rsidRPr="005770D2">
        <w:rPr>
          <w:rFonts w:eastAsiaTheme="minorEastAsia"/>
          <w:sz w:val="24"/>
          <w:szCs w:val="24"/>
        </w:rPr>
        <w:t>Switch CISCO/NEXUS 93180YC-FX;</w:t>
      </w:r>
    </w:p>
    <w:p w14:paraId="580F2952" w14:textId="59DFC3D3" w:rsidR="005770D2" w:rsidRPr="009B7685" w:rsidRDefault="005770D2" w:rsidP="005770D2">
      <w:pPr>
        <w:pStyle w:val="PargrafodaLista"/>
        <w:numPr>
          <w:ilvl w:val="1"/>
          <w:numId w:val="10"/>
        </w:numPr>
        <w:autoSpaceDE w:val="0"/>
        <w:autoSpaceDN w:val="0"/>
        <w:adjustRightInd w:val="0"/>
        <w:rPr>
          <w:rFonts w:eastAsiaTheme="minorEastAsia"/>
          <w:sz w:val="24"/>
          <w:szCs w:val="24"/>
        </w:rPr>
      </w:pPr>
      <w:r w:rsidRPr="005770D2">
        <w:rPr>
          <w:rFonts w:eastAsiaTheme="minorEastAsia"/>
          <w:sz w:val="24"/>
          <w:szCs w:val="24"/>
        </w:rPr>
        <w:t xml:space="preserve">Switch CISCO UCS 6296UP 96-Port </w:t>
      </w:r>
      <w:r w:rsidRPr="005770D2">
        <w:rPr>
          <w:rFonts w:eastAsiaTheme="minorEastAsia"/>
          <w:i/>
          <w:sz w:val="24"/>
          <w:szCs w:val="24"/>
        </w:rPr>
        <w:t>Fabric Interconnect</w:t>
      </w:r>
      <w:r w:rsidRPr="005770D2">
        <w:rPr>
          <w:rFonts w:eastAsiaTheme="minorEastAsia"/>
          <w:sz w:val="24"/>
          <w:szCs w:val="24"/>
        </w:rPr>
        <w:t>;</w:t>
      </w:r>
    </w:p>
    <w:p w14:paraId="75F74168" w14:textId="77777777" w:rsidR="008472C0" w:rsidRPr="009B7685" w:rsidRDefault="4F2C0FBD" w:rsidP="4F2C0FBD">
      <w:pPr>
        <w:pStyle w:val="PargrafodaLista"/>
        <w:numPr>
          <w:ilvl w:val="0"/>
          <w:numId w:val="10"/>
        </w:numPr>
        <w:autoSpaceDE w:val="0"/>
        <w:autoSpaceDN w:val="0"/>
        <w:adjustRightInd w:val="0"/>
        <w:rPr>
          <w:rFonts w:eastAsiaTheme="minorEastAsia"/>
          <w:sz w:val="24"/>
          <w:szCs w:val="24"/>
        </w:rPr>
      </w:pPr>
      <w:r w:rsidRPr="4F2C0FBD">
        <w:rPr>
          <w:rFonts w:eastAsiaTheme="minorEastAsia"/>
          <w:sz w:val="24"/>
          <w:szCs w:val="24"/>
        </w:rPr>
        <w:t>Canal de abertura de chamados na modalidade eletrônica e automatizada em regime 24/7 (vinte e quatro horas por dia, sete dias por semana);</w:t>
      </w:r>
    </w:p>
    <w:p w14:paraId="29952101" w14:textId="77777777" w:rsidR="008472C0" w:rsidRPr="009B7685" w:rsidRDefault="4F2C0FBD" w:rsidP="4F2C0FBD">
      <w:pPr>
        <w:pStyle w:val="PargrafodaLista"/>
        <w:numPr>
          <w:ilvl w:val="0"/>
          <w:numId w:val="10"/>
        </w:numPr>
        <w:autoSpaceDE w:val="0"/>
        <w:autoSpaceDN w:val="0"/>
        <w:adjustRightInd w:val="0"/>
        <w:rPr>
          <w:rFonts w:eastAsiaTheme="minorEastAsia"/>
          <w:sz w:val="24"/>
          <w:szCs w:val="24"/>
        </w:rPr>
      </w:pPr>
      <w:r w:rsidRPr="4F2C0FBD">
        <w:rPr>
          <w:rFonts w:eastAsiaTheme="minorEastAsia"/>
          <w:sz w:val="24"/>
          <w:szCs w:val="24"/>
        </w:rPr>
        <w:t>Disponibilidade total de funcionamento da solução, na modalidade 24/7;</w:t>
      </w:r>
    </w:p>
    <w:p w14:paraId="36A13AD8" w14:textId="670512B0" w:rsidR="008472C0" w:rsidRPr="009B7685" w:rsidRDefault="4F2C0FBD" w:rsidP="4F2C0FBD">
      <w:pPr>
        <w:pStyle w:val="PargrafodaLista"/>
        <w:numPr>
          <w:ilvl w:val="0"/>
          <w:numId w:val="10"/>
        </w:numPr>
        <w:autoSpaceDE w:val="0"/>
        <w:autoSpaceDN w:val="0"/>
        <w:adjustRightInd w:val="0"/>
        <w:rPr>
          <w:rFonts w:eastAsiaTheme="minorEastAsia"/>
          <w:sz w:val="24"/>
          <w:szCs w:val="24"/>
        </w:rPr>
      </w:pPr>
      <w:r w:rsidRPr="00ED1A87">
        <w:rPr>
          <w:rFonts w:eastAsiaTheme="minorEastAsia"/>
          <w:sz w:val="24"/>
          <w:szCs w:val="24"/>
        </w:rPr>
        <w:t xml:space="preserve">Conectividade SAN </w:t>
      </w:r>
      <w:r w:rsidRPr="4F2C0FBD">
        <w:rPr>
          <w:rFonts w:eastAsiaTheme="minorEastAsia"/>
          <w:sz w:val="24"/>
          <w:szCs w:val="24"/>
        </w:rPr>
        <w:t>entre os Storages VSP G1000 e a nova solução, para migração de, aproximadamente, 300 TB (trezentos Terabytes) de forma automatizada;</w:t>
      </w:r>
    </w:p>
    <w:p w14:paraId="625B53BF" w14:textId="77777777" w:rsidR="008472C0" w:rsidRPr="009B7685" w:rsidRDefault="4F2C0FBD" w:rsidP="4F2C0FBD">
      <w:pPr>
        <w:pStyle w:val="PargrafodaLista"/>
        <w:numPr>
          <w:ilvl w:val="0"/>
          <w:numId w:val="10"/>
        </w:numPr>
        <w:autoSpaceDE w:val="0"/>
        <w:autoSpaceDN w:val="0"/>
        <w:adjustRightInd w:val="0"/>
        <w:rPr>
          <w:rFonts w:eastAsiaTheme="minorEastAsia"/>
          <w:sz w:val="24"/>
          <w:szCs w:val="24"/>
        </w:rPr>
      </w:pPr>
      <w:r w:rsidRPr="4F2C0FBD">
        <w:rPr>
          <w:rFonts w:eastAsiaTheme="minorEastAsia"/>
          <w:sz w:val="24"/>
          <w:szCs w:val="24"/>
        </w:rPr>
        <w:t>Solução com hardware dedicado, do próprio fabricante (não serão aceitos equipamentos OEM);</w:t>
      </w:r>
    </w:p>
    <w:p w14:paraId="64A8BA13" w14:textId="77777777" w:rsidR="008472C0" w:rsidRPr="009B7685" w:rsidRDefault="4F2C0FBD" w:rsidP="4F2C0FBD">
      <w:pPr>
        <w:pStyle w:val="PargrafodaLista"/>
        <w:numPr>
          <w:ilvl w:val="0"/>
          <w:numId w:val="10"/>
        </w:numPr>
        <w:autoSpaceDE w:val="0"/>
        <w:autoSpaceDN w:val="0"/>
        <w:adjustRightInd w:val="0"/>
        <w:rPr>
          <w:rFonts w:eastAsiaTheme="minorEastAsia"/>
          <w:sz w:val="24"/>
          <w:szCs w:val="24"/>
        </w:rPr>
      </w:pPr>
      <w:r w:rsidRPr="4F2C0FBD">
        <w:rPr>
          <w:rFonts w:eastAsiaTheme="minorEastAsia"/>
          <w:sz w:val="24"/>
          <w:szCs w:val="24"/>
        </w:rPr>
        <w:t>Monitoramento proativo dos discos e de performance do sistema de maneira automatizada, 24/7, com alertas imediatos para equipe de manutenção do fabricante e equipe técnica deste PJMT;</w:t>
      </w:r>
    </w:p>
    <w:p w14:paraId="37F75620" w14:textId="77777777" w:rsidR="008472C0" w:rsidRPr="009B7685" w:rsidRDefault="4F2C0FBD" w:rsidP="4F2C0FBD">
      <w:pPr>
        <w:pStyle w:val="PargrafodaLista"/>
        <w:numPr>
          <w:ilvl w:val="0"/>
          <w:numId w:val="10"/>
        </w:numPr>
        <w:rPr>
          <w:rFonts w:eastAsiaTheme="minorEastAsia"/>
          <w:sz w:val="24"/>
          <w:szCs w:val="24"/>
        </w:rPr>
      </w:pPr>
      <w:r w:rsidRPr="4F2C0FBD">
        <w:rPr>
          <w:rFonts w:eastAsiaTheme="minorEastAsia"/>
          <w:sz w:val="24"/>
          <w:szCs w:val="24"/>
        </w:rPr>
        <w:t>Eventual substituição de componentes que compõem a solução sem interrupção do funcionamento da infraestrutura de armazenamento de dados e dos serviços nela inseridos;</w:t>
      </w:r>
    </w:p>
    <w:p w14:paraId="26AFE0B2" w14:textId="77777777" w:rsidR="008472C0" w:rsidRPr="009B7685" w:rsidRDefault="4F2C0FBD" w:rsidP="4F2C0FBD">
      <w:pPr>
        <w:pStyle w:val="PargrafodaLista"/>
        <w:numPr>
          <w:ilvl w:val="0"/>
          <w:numId w:val="10"/>
        </w:numPr>
        <w:autoSpaceDE w:val="0"/>
        <w:autoSpaceDN w:val="0"/>
        <w:adjustRightInd w:val="0"/>
        <w:rPr>
          <w:rFonts w:eastAsiaTheme="minorEastAsia"/>
          <w:sz w:val="24"/>
          <w:szCs w:val="24"/>
        </w:rPr>
      </w:pPr>
      <w:r w:rsidRPr="4F2C0FBD">
        <w:rPr>
          <w:rFonts w:eastAsiaTheme="minorEastAsia"/>
          <w:sz w:val="24"/>
          <w:szCs w:val="24"/>
        </w:rPr>
        <w:t>Vigência mínima de 3 anos de suporte/garantia, diretamente pelo fabricante ou pela contratada, com as devidas certificações do próprio fabricante;</w:t>
      </w:r>
    </w:p>
    <w:p w14:paraId="444BC2B0" w14:textId="77777777" w:rsidR="008472C0" w:rsidRPr="009B7685" w:rsidRDefault="4F2C0FBD" w:rsidP="4F2C0FBD">
      <w:pPr>
        <w:pStyle w:val="PargrafodaLista"/>
        <w:numPr>
          <w:ilvl w:val="0"/>
          <w:numId w:val="10"/>
        </w:numPr>
        <w:autoSpaceDE w:val="0"/>
        <w:autoSpaceDN w:val="0"/>
        <w:adjustRightInd w:val="0"/>
        <w:rPr>
          <w:rFonts w:eastAsiaTheme="minorEastAsia"/>
          <w:sz w:val="24"/>
          <w:szCs w:val="24"/>
        </w:rPr>
      </w:pPr>
      <w:r w:rsidRPr="4F2C0FBD">
        <w:rPr>
          <w:rFonts w:eastAsiaTheme="minorEastAsia"/>
          <w:i/>
          <w:iCs/>
          <w:sz w:val="24"/>
          <w:szCs w:val="24"/>
        </w:rPr>
        <w:t>Moving</w:t>
      </w:r>
      <w:r w:rsidRPr="4F2C0FBD">
        <w:rPr>
          <w:rFonts w:eastAsiaTheme="minorEastAsia"/>
          <w:sz w:val="24"/>
          <w:szCs w:val="24"/>
        </w:rPr>
        <w:t xml:space="preserve"> (deslocamento) dos </w:t>
      </w:r>
      <w:r w:rsidRPr="4F2C0FBD">
        <w:rPr>
          <w:rFonts w:eastAsiaTheme="minorEastAsia"/>
          <w:i/>
          <w:iCs/>
          <w:sz w:val="24"/>
          <w:szCs w:val="24"/>
        </w:rPr>
        <w:t>storages</w:t>
      </w:r>
      <w:r w:rsidRPr="4F2C0FBD">
        <w:rPr>
          <w:rFonts w:eastAsiaTheme="minorEastAsia"/>
          <w:sz w:val="24"/>
          <w:szCs w:val="24"/>
        </w:rPr>
        <w:t xml:space="preserve"> VSP dos Datacenters do Fórum da Capital e do Tribunal de Justiça para o antigo Datacenter do Fórum da Capital, e dos </w:t>
      </w:r>
      <w:r w:rsidRPr="4F2C0FBD">
        <w:rPr>
          <w:rFonts w:eastAsiaTheme="minorEastAsia"/>
          <w:sz w:val="24"/>
          <w:szCs w:val="24"/>
        </w:rPr>
        <w:lastRenderedPageBreak/>
        <w:t>storages AMS 1000, do antigo Datacenter do Fórum da Capital para o Barracão do Departamento de Material e Patrimônio;</w:t>
      </w:r>
    </w:p>
    <w:p w14:paraId="2978B25B" w14:textId="77777777" w:rsidR="008472C0" w:rsidRPr="009B7685" w:rsidRDefault="4F2C0FBD" w:rsidP="4F2C0FBD">
      <w:pPr>
        <w:pStyle w:val="PargrafodaLista"/>
        <w:numPr>
          <w:ilvl w:val="0"/>
          <w:numId w:val="10"/>
        </w:numPr>
        <w:rPr>
          <w:rFonts w:eastAsiaTheme="minorEastAsia"/>
          <w:sz w:val="24"/>
          <w:szCs w:val="24"/>
        </w:rPr>
      </w:pPr>
      <w:r w:rsidRPr="4F2C0FBD">
        <w:rPr>
          <w:rFonts w:eastAsiaTheme="minorEastAsia"/>
          <w:sz w:val="24"/>
          <w:szCs w:val="24"/>
        </w:rPr>
        <w:t>A solução não deverá constar em listas de "Fim de Suporte", "Fim de Venda" ou "Fim de Vida Útil", durante a vigência do contrato.</w:t>
      </w:r>
    </w:p>
    <w:p w14:paraId="165F0D6D" w14:textId="77777777" w:rsidR="008472C0" w:rsidRPr="009B7685" w:rsidRDefault="008472C0" w:rsidP="4F2C0FBD">
      <w:pPr>
        <w:pStyle w:val="Ttulo2"/>
        <w:spacing w:after="240"/>
        <w:ind w:left="578" w:hanging="578"/>
        <w:rPr>
          <w:rFonts w:asciiTheme="minorHAnsi" w:eastAsiaTheme="minorEastAsia" w:hAnsiTheme="minorHAnsi" w:cstheme="minorBidi"/>
        </w:rPr>
      </w:pPr>
      <w:bookmarkStart w:id="5" w:name="_Toc534884799"/>
      <w:r w:rsidRPr="4F2C0FBD">
        <w:rPr>
          <w:rFonts w:asciiTheme="minorHAnsi" w:eastAsiaTheme="minorEastAsia" w:hAnsiTheme="minorHAnsi" w:cstheme="minorBidi"/>
        </w:rPr>
        <w:t>Soluções Disponíveis no Mercado de TIC (Art. 14, I, a)</w:t>
      </w:r>
      <w:bookmarkEnd w:id="5"/>
    </w:p>
    <w:p w14:paraId="5792C332"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Considerando o mercado de armazenamento de dados – </w:t>
      </w:r>
      <w:r w:rsidRPr="4F2C0FBD">
        <w:rPr>
          <w:rFonts w:eastAsiaTheme="minorEastAsia"/>
          <w:i/>
          <w:iCs/>
          <w:sz w:val="24"/>
          <w:szCs w:val="24"/>
        </w:rPr>
        <w:t>storages</w:t>
      </w:r>
      <w:r w:rsidRPr="4F2C0FBD">
        <w:rPr>
          <w:rFonts w:eastAsiaTheme="minorEastAsia"/>
          <w:sz w:val="24"/>
          <w:szCs w:val="24"/>
        </w:rPr>
        <w:t xml:space="preserve"> - a forma de contratação da solução pode se dar por: </w:t>
      </w:r>
    </w:p>
    <w:p w14:paraId="345742A3" w14:textId="77777777" w:rsidR="008472C0" w:rsidRPr="009B7685" w:rsidRDefault="4F2C0FBD" w:rsidP="4F2C0FBD">
      <w:pPr>
        <w:jc w:val="both"/>
        <w:rPr>
          <w:rFonts w:eastAsiaTheme="minorEastAsia"/>
          <w:sz w:val="24"/>
          <w:szCs w:val="24"/>
        </w:rPr>
      </w:pPr>
      <w:r w:rsidRPr="4F2C0FBD">
        <w:rPr>
          <w:rFonts w:eastAsiaTheme="minorEastAsia"/>
          <w:sz w:val="24"/>
          <w:szCs w:val="24"/>
        </w:rPr>
        <w:t>- Soluções “</w:t>
      </w:r>
      <w:r w:rsidRPr="4F2C0FBD">
        <w:rPr>
          <w:rFonts w:eastAsiaTheme="minorEastAsia"/>
          <w:i/>
          <w:iCs/>
          <w:sz w:val="24"/>
          <w:szCs w:val="24"/>
        </w:rPr>
        <w:t>on-premisse</w:t>
      </w:r>
      <w:r w:rsidRPr="4F2C0FBD">
        <w:rPr>
          <w:rFonts w:eastAsiaTheme="minorEastAsia"/>
          <w:sz w:val="24"/>
          <w:szCs w:val="24"/>
        </w:rPr>
        <w:t xml:space="preserve">”, quando se adquire os equipamentos que compõe o </w:t>
      </w:r>
      <w:r w:rsidRPr="4F2C0FBD">
        <w:rPr>
          <w:rFonts w:eastAsiaTheme="minorEastAsia"/>
          <w:i/>
          <w:iCs/>
          <w:sz w:val="24"/>
          <w:szCs w:val="24"/>
        </w:rPr>
        <w:t>storage</w:t>
      </w:r>
      <w:r w:rsidRPr="4F2C0FBD">
        <w:rPr>
          <w:rFonts w:eastAsiaTheme="minorEastAsia"/>
          <w:sz w:val="24"/>
          <w:szCs w:val="24"/>
        </w:rPr>
        <w:t xml:space="preserve"> (hardware / software);</w:t>
      </w:r>
    </w:p>
    <w:p w14:paraId="12A42928" w14:textId="77777777" w:rsidR="008472C0" w:rsidRPr="009B7685" w:rsidRDefault="4F2C0FBD" w:rsidP="4F2C0FBD">
      <w:pPr>
        <w:jc w:val="both"/>
        <w:rPr>
          <w:rFonts w:eastAsiaTheme="minorEastAsia"/>
          <w:sz w:val="24"/>
          <w:szCs w:val="24"/>
        </w:rPr>
      </w:pPr>
      <w:r w:rsidRPr="4F2C0FBD">
        <w:rPr>
          <w:rFonts w:eastAsiaTheme="minorEastAsia"/>
          <w:sz w:val="24"/>
          <w:szCs w:val="24"/>
        </w:rPr>
        <w:t>- Soluções em “</w:t>
      </w:r>
      <w:r w:rsidRPr="4F2C0FBD">
        <w:rPr>
          <w:rFonts w:eastAsiaTheme="minorEastAsia"/>
          <w:i/>
          <w:iCs/>
          <w:sz w:val="24"/>
          <w:szCs w:val="24"/>
        </w:rPr>
        <w:t>cloud</w:t>
      </w:r>
      <w:r w:rsidRPr="4F2C0FBD">
        <w:rPr>
          <w:rFonts w:eastAsiaTheme="minorEastAsia"/>
          <w:sz w:val="24"/>
          <w:szCs w:val="24"/>
        </w:rPr>
        <w:t>” (nuvem), onde a aquisição não envolve compra de equipamentos, mas se utiliza da infraestrutura do contratado, através de prestação de serviço. Nesse caso de IaaS (</w:t>
      </w:r>
      <w:r w:rsidRPr="4F2C0FBD">
        <w:rPr>
          <w:rFonts w:eastAsiaTheme="minorEastAsia"/>
          <w:i/>
          <w:iCs/>
          <w:sz w:val="24"/>
          <w:szCs w:val="24"/>
        </w:rPr>
        <w:t>Infrastructure as a Service</w:t>
      </w:r>
      <w:r w:rsidRPr="4F2C0FBD">
        <w:rPr>
          <w:rFonts w:eastAsiaTheme="minorEastAsia"/>
          <w:sz w:val="24"/>
          <w:szCs w:val="24"/>
        </w:rPr>
        <w:t>), alguns fatores hão de ser considerados, tais como custo benefício, segurança da informação, além da capacidade de banda larga a tramitar os dados a serem armazenados.</w:t>
      </w:r>
    </w:p>
    <w:p w14:paraId="3ECB9103"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Outra segmentação para contratação de </w:t>
      </w:r>
      <w:r w:rsidRPr="4F2C0FBD">
        <w:rPr>
          <w:rFonts w:eastAsiaTheme="minorEastAsia"/>
          <w:i/>
          <w:iCs/>
          <w:sz w:val="24"/>
          <w:szCs w:val="24"/>
        </w:rPr>
        <w:t>storages</w:t>
      </w:r>
      <w:r w:rsidRPr="4F2C0FBD">
        <w:rPr>
          <w:rFonts w:eastAsiaTheme="minorEastAsia"/>
          <w:sz w:val="24"/>
          <w:szCs w:val="24"/>
        </w:rPr>
        <w:t xml:space="preserve"> está na tecnologia a ser empregada na solução de armazenamento de dados. Segundo o Gartner (relatório 2018 </w:t>
      </w:r>
      <w:r w:rsidRPr="4F2C0FBD">
        <w:rPr>
          <w:rFonts w:eastAsiaTheme="minorEastAsia"/>
          <w:i/>
          <w:iCs/>
          <w:sz w:val="24"/>
          <w:szCs w:val="24"/>
        </w:rPr>
        <w:t>Strategic Roadmap for Storage)</w:t>
      </w:r>
      <w:r w:rsidRPr="4F2C0FBD">
        <w:rPr>
          <w:rFonts w:eastAsiaTheme="minorEastAsia"/>
          <w:sz w:val="24"/>
          <w:szCs w:val="24"/>
        </w:rPr>
        <w:t>, é possível categorizar as soluções de armazenamento de dados pela performance (velocidade) de leitura/escrita dos dados, e pelo grau de disponibilidade/segurança da informação.</w:t>
      </w:r>
    </w:p>
    <w:p w14:paraId="228703BF"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Neste caso, de modo a otimizar o investimento a ser realizado, se faz necessário entender o perfil dos dados a serem armazenados, para então determinar a classificação dos equipamentos a serem utilizados. Quanto maior for a necessidade de performance e disponibilidade da solução, maior será o investimento.</w:t>
      </w:r>
    </w:p>
    <w:p w14:paraId="30A78031" w14:textId="77777777" w:rsidR="008472C0" w:rsidRPr="009B7685" w:rsidRDefault="4F2C0FBD" w:rsidP="4F2C0FBD">
      <w:pPr>
        <w:ind w:firstLine="709"/>
        <w:jc w:val="both"/>
        <w:rPr>
          <w:rFonts w:eastAsiaTheme="minorEastAsia"/>
          <w:i/>
          <w:iCs/>
          <w:sz w:val="24"/>
          <w:szCs w:val="24"/>
        </w:rPr>
      </w:pPr>
      <w:r w:rsidRPr="4F2C0FBD">
        <w:rPr>
          <w:rFonts w:eastAsiaTheme="minorEastAsia"/>
          <w:sz w:val="24"/>
          <w:szCs w:val="24"/>
        </w:rPr>
        <w:t xml:space="preserve">Abaixo, segue uma síntese, com análise cruzada com a demanda atual deste Poder Judiciário, para determinar qual a opção mais aderente para esta contratação: </w:t>
      </w:r>
    </w:p>
    <w:p w14:paraId="24EDAE6B" w14:textId="77777777" w:rsidR="008472C0" w:rsidRPr="009B7685" w:rsidRDefault="4F2C0FBD" w:rsidP="4F2C0FBD">
      <w:pPr>
        <w:pStyle w:val="Primeirorecuodecorpodetexto"/>
        <w:numPr>
          <w:ilvl w:val="0"/>
          <w:numId w:val="16"/>
        </w:numPr>
        <w:spacing w:after="120"/>
        <w:ind w:left="1276" w:hanging="283"/>
        <w:rPr>
          <w:rFonts w:eastAsiaTheme="minorEastAsia"/>
          <w:b/>
          <w:bCs/>
          <w:sz w:val="24"/>
          <w:szCs w:val="24"/>
        </w:rPr>
      </w:pPr>
      <w:r w:rsidRPr="4F2C0FBD">
        <w:rPr>
          <w:rFonts w:eastAsiaTheme="minorEastAsia"/>
          <w:b/>
          <w:bCs/>
          <w:sz w:val="24"/>
          <w:szCs w:val="24"/>
        </w:rPr>
        <w:t>Soluções “</w:t>
      </w:r>
      <w:r w:rsidRPr="4F2C0FBD">
        <w:rPr>
          <w:rFonts w:eastAsiaTheme="minorEastAsia"/>
          <w:b/>
          <w:bCs/>
          <w:i/>
          <w:iCs/>
          <w:sz w:val="24"/>
          <w:szCs w:val="24"/>
        </w:rPr>
        <w:t>on-premise</w:t>
      </w:r>
      <w:r w:rsidRPr="4F2C0FBD">
        <w:rPr>
          <w:rFonts w:eastAsiaTheme="minorEastAsia"/>
          <w:b/>
          <w:bCs/>
          <w:sz w:val="24"/>
          <w:szCs w:val="24"/>
        </w:rPr>
        <w:t xml:space="preserve">”: </w:t>
      </w:r>
      <w:r w:rsidRPr="4F2C0FBD">
        <w:rPr>
          <w:rFonts w:eastAsiaTheme="minorEastAsia"/>
          <w:sz w:val="24"/>
          <w:szCs w:val="24"/>
        </w:rPr>
        <w:t>Aquisição de infraestrutura própria, instalada em nosso próprio Datacenter. Benefício: Maior controle no quesito de segurança da informação.</w:t>
      </w:r>
    </w:p>
    <w:p w14:paraId="4D4917CF" w14:textId="77777777" w:rsidR="008472C0" w:rsidRPr="009B7685" w:rsidRDefault="4F2C0FBD" w:rsidP="4F2C0FBD">
      <w:pPr>
        <w:pStyle w:val="Primeirorecuodecorpodetexto"/>
        <w:numPr>
          <w:ilvl w:val="1"/>
          <w:numId w:val="16"/>
        </w:numPr>
        <w:spacing w:after="120"/>
        <w:ind w:left="1843" w:hanging="283"/>
        <w:rPr>
          <w:rFonts w:eastAsiaTheme="minorEastAsia"/>
          <w:sz w:val="24"/>
          <w:szCs w:val="24"/>
        </w:rPr>
      </w:pPr>
      <w:r w:rsidRPr="4F2C0FBD">
        <w:rPr>
          <w:rFonts w:eastAsiaTheme="minorEastAsia"/>
          <w:b/>
          <w:bCs/>
          <w:i/>
          <w:iCs/>
          <w:sz w:val="24"/>
          <w:szCs w:val="24"/>
        </w:rPr>
        <w:t>Storages</w:t>
      </w:r>
      <w:r w:rsidRPr="4F2C0FBD">
        <w:rPr>
          <w:rFonts w:eastAsiaTheme="minorEastAsia"/>
          <w:b/>
          <w:bCs/>
          <w:sz w:val="24"/>
          <w:szCs w:val="24"/>
        </w:rPr>
        <w:t xml:space="preserve"> de alta-performance (High-end):</w:t>
      </w:r>
      <w:r w:rsidRPr="4F2C0FBD">
        <w:rPr>
          <w:rFonts w:eastAsiaTheme="minorEastAsia"/>
          <w:sz w:val="24"/>
          <w:szCs w:val="24"/>
        </w:rPr>
        <w:t xml:space="preserve"> Soluções compostas por equipamentos mais “robustos” (maior capacidade de processamento), altos índices de disponibilidade e que podem ser estruturadas por mix de discos ou flash drives (mais velozes). Equipamento recomendado para situações onde existe alta demanda de taxas de escrita e leitura de dados. Maior necessidade de investimento financeiro;</w:t>
      </w:r>
    </w:p>
    <w:p w14:paraId="08235158" w14:textId="77777777" w:rsidR="008472C0" w:rsidRPr="009B7685" w:rsidRDefault="4F2C0FBD" w:rsidP="4F2C0FBD">
      <w:pPr>
        <w:pStyle w:val="Primeirorecuodecorpodetexto"/>
        <w:numPr>
          <w:ilvl w:val="1"/>
          <w:numId w:val="16"/>
        </w:numPr>
        <w:spacing w:after="120"/>
        <w:ind w:left="1843" w:hanging="283"/>
        <w:rPr>
          <w:rFonts w:eastAsiaTheme="minorEastAsia"/>
          <w:sz w:val="24"/>
          <w:szCs w:val="24"/>
        </w:rPr>
      </w:pPr>
      <w:r w:rsidRPr="4F2C0FBD">
        <w:rPr>
          <w:rFonts w:eastAsiaTheme="minorEastAsia"/>
          <w:b/>
          <w:bCs/>
          <w:i/>
          <w:iCs/>
          <w:sz w:val="24"/>
          <w:szCs w:val="24"/>
        </w:rPr>
        <w:t>Storages</w:t>
      </w:r>
      <w:r w:rsidRPr="4F2C0FBD">
        <w:rPr>
          <w:rFonts w:eastAsiaTheme="minorEastAsia"/>
          <w:b/>
          <w:bCs/>
          <w:sz w:val="24"/>
          <w:szCs w:val="24"/>
        </w:rPr>
        <w:t xml:space="preserve"> de média performance (Mid-range):</w:t>
      </w:r>
      <w:r w:rsidRPr="4F2C0FBD">
        <w:rPr>
          <w:rFonts w:eastAsiaTheme="minorEastAsia"/>
          <w:sz w:val="24"/>
          <w:szCs w:val="24"/>
        </w:rPr>
        <w:t xml:space="preserve"> Soluções compostas por controladoras com menor capacidade de processamento (quando comparadas com soluções da categoria anterior), com alto índice de disponibilidade e também pode ser estruturada pelos </w:t>
      </w:r>
      <w:r w:rsidRPr="4F2C0FBD">
        <w:rPr>
          <w:rFonts w:eastAsiaTheme="minorEastAsia"/>
          <w:sz w:val="24"/>
          <w:szCs w:val="24"/>
        </w:rPr>
        <w:lastRenderedPageBreak/>
        <w:t xml:space="preserve">mesmos tipos de discos dos </w:t>
      </w:r>
      <w:r w:rsidRPr="4F2C0FBD">
        <w:rPr>
          <w:rFonts w:eastAsiaTheme="minorEastAsia"/>
          <w:i/>
          <w:iCs/>
          <w:sz w:val="24"/>
          <w:szCs w:val="24"/>
        </w:rPr>
        <w:t>storages</w:t>
      </w:r>
      <w:r w:rsidRPr="4F2C0FBD">
        <w:rPr>
          <w:rFonts w:eastAsiaTheme="minorEastAsia"/>
          <w:sz w:val="24"/>
          <w:szCs w:val="24"/>
        </w:rPr>
        <w:t xml:space="preserve"> High-end. Esta solução é mais adequada para situações de armazenamento de dados “frios”, onde as taxas de leitura e escrita não são tão elevadas. Menor necessidade de investimento financeiro;</w:t>
      </w:r>
    </w:p>
    <w:p w14:paraId="4DF45B15" w14:textId="77777777" w:rsidR="008472C0" w:rsidRPr="009B7685" w:rsidRDefault="4F2C0FBD" w:rsidP="4F2C0FBD">
      <w:pPr>
        <w:pStyle w:val="Primeirorecuodecorpodetexto"/>
        <w:numPr>
          <w:ilvl w:val="0"/>
          <w:numId w:val="16"/>
        </w:numPr>
        <w:spacing w:after="120"/>
        <w:ind w:left="1276" w:hanging="283"/>
        <w:rPr>
          <w:rFonts w:eastAsiaTheme="minorEastAsia"/>
          <w:sz w:val="24"/>
          <w:szCs w:val="24"/>
        </w:rPr>
      </w:pPr>
      <w:r w:rsidRPr="4F2C0FBD">
        <w:rPr>
          <w:rFonts w:eastAsiaTheme="minorEastAsia"/>
          <w:b/>
          <w:bCs/>
          <w:sz w:val="24"/>
          <w:szCs w:val="24"/>
        </w:rPr>
        <w:t>Soluções em “</w:t>
      </w:r>
      <w:r w:rsidRPr="4F2C0FBD">
        <w:rPr>
          <w:rFonts w:eastAsiaTheme="minorEastAsia"/>
          <w:b/>
          <w:bCs/>
          <w:i/>
          <w:iCs/>
          <w:sz w:val="24"/>
          <w:szCs w:val="24"/>
        </w:rPr>
        <w:t>cloud</w:t>
      </w:r>
      <w:r w:rsidRPr="4F2C0FBD">
        <w:rPr>
          <w:rFonts w:eastAsiaTheme="minorEastAsia"/>
          <w:b/>
          <w:bCs/>
          <w:sz w:val="24"/>
          <w:szCs w:val="24"/>
        </w:rPr>
        <w:t>”:</w:t>
      </w:r>
      <w:r w:rsidRPr="4F2C0FBD">
        <w:rPr>
          <w:rFonts w:eastAsiaTheme="minorEastAsia"/>
          <w:sz w:val="24"/>
          <w:szCs w:val="24"/>
        </w:rPr>
        <w:t xml:space="preserve"> Contratação de serviço de armazenamento de dados, na qual a infraestrutura utilizada é do próprio contratado, em site remoto. O serviço é contratado sob demanda, o que pode levar a redução no investimento financeiro, contudo, acaba aumentando consideravelmente o consumo de internet, uma vez que a comunicação com o sistema de armazenamento de dados é 100% online. </w:t>
      </w:r>
    </w:p>
    <w:p w14:paraId="325724B9" w14:textId="77777777" w:rsidR="008472C0" w:rsidRPr="009B7685" w:rsidRDefault="008472C0" w:rsidP="4F2C0FBD">
      <w:pPr>
        <w:pStyle w:val="Ttulo2"/>
        <w:rPr>
          <w:rFonts w:asciiTheme="minorHAnsi" w:eastAsiaTheme="minorEastAsia" w:hAnsiTheme="minorHAnsi" w:cstheme="minorBidi"/>
        </w:rPr>
      </w:pPr>
      <w:bookmarkStart w:id="6" w:name="_Toc337821675"/>
      <w:bookmarkStart w:id="7" w:name="_Toc534884800"/>
      <w:r w:rsidRPr="4F2C0FBD">
        <w:rPr>
          <w:rFonts w:asciiTheme="minorHAnsi" w:eastAsiaTheme="minorEastAsia" w:hAnsiTheme="minorHAnsi" w:cstheme="minorBidi"/>
        </w:rPr>
        <w:t>Contratações Públicas Similares</w:t>
      </w:r>
      <w:bookmarkEnd w:id="6"/>
      <w:r w:rsidRPr="4F2C0FBD">
        <w:rPr>
          <w:rFonts w:asciiTheme="minorHAnsi" w:eastAsiaTheme="minorEastAsia" w:hAnsiTheme="minorHAnsi" w:cstheme="minorBidi"/>
        </w:rPr>
        <w:t xml:space="preserve"> (Art. 14, I, b)</w:t>
      </w:r>
      <w:bookmarkEnd w:id="7"/>
    </w:p>
    <w:p w14:paraId="54289CDB"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Após pesquisa na Internet, foram encontradas as seguintes contratações públicas similares, constantes do Anexo A deste Estudo Preliminar:</w:t>
      </w:r>
    </w:p>
    <w:p w14:paraId="35165A9F" w14:textId="77777777" w:rsidR="008472C0" w:rsidRPr="009B7685" w:rsidRDefault="4F2C0FBD" w:rsidP="4F2C0FBD">
      <w:pPr>
        <w:pStyle w:val="Primeirorecuodecorpodetexto"/>
        <w:numPr>
          <w:ilvl w:val="0"/>
          <w:numId w:val="5"/>
        </w:numPr>
        <w:spacing w:after="120"/>
        <w:rPr>
          <w:rFonts w:eastAsiaTheme="minorEastAsia"/>
          <w:b/>
          <w:bCs/>
          <w:sz w:val="24"/>
          <w:szCs w:val="24"/>
        </w:rPr>
      </w:pPr>
      <w:r w:rsidRPr="4F2C0FBD">
        <w:rPr>
          <w:rFonts w:eastAsiaTheme="minorEastAsia"/>
          <w:b/>
          <w:bCs/>
          <w:sz w:val="24"/>
          <w:szCs w:val="24"/>
        </w:rPr>
        <w:t>STJ – Supremo Tribunal de Justiça</w:t>
      </w:r>
      <w:r w:rsidRPr="4F2C0FBD">
        <w:rPr>
          <w:rFonts w:eastAsiaTheme="minorEastAsia"/>
          <w:sz w:val="24"/>
          <w:szCs w:val="24"/>
        </w:rPr>
        <w:t xml:space="preserve"> – Pregão Eletrônico 189/2018 – Aquisição de solução de armazenamento de dados em massa (storage) para o Superior Tribunal de Justiça (STJ), incluindo serviço de implantação da solução, suporte e garantia técnica pelo período de 60 (sessenta) meses;</w:t>
      </w:r>
    </w:p>
    <w:p w14:paraId="359F502B" w14:textId="77777777" w:rsidR="008472C0" w:rsidRPr="009B7685" w:rsidRDefault="4F2C0FBD" w:rsidP="4F2C0FBD">
      <w:pPr>
        <w:pStyle w:val="Primeirorecuodecorpodetexto"/>
        <w:numPr>
          <w:ilvl w:val="1"/>
          <w:numId w:val="5"/>
        </w:numPr>
        <w:spacing w:after="120"/>
        <w:rPr>
          <w:rFonts w:eastAsiaTheme="minorEastAsia"/>
          <w:b/>
          <w:bCs/>
          <w:sz w:val="24"/>
          <w:szCs w:val="24"/>
        </w:rPr>
      </w:pPr>
      <w:r w:rsidRPr="4F2C0FBD">
        <w:rPr>
          <w:rFonts w:eastAsiaTheme="minorEastAsia"/>
          <w:b/>
          <w:bCs/>
          <w:sz w:val="24"/>
          <w:szCs w:val="24"/>
        </w:rPr>
        <w:t xml:space="preserve">Data do Pregão Eletrônico: </w:t>
      </w:r>
      <w:r w:rsidRPr="4F2C0FBD">
        <w:rPr>
          <w:rFonts w:eastAsiaTheme="minorEastAsia"/>
          <w:sz w:val="24"/>
          <w:szCs w:val="24"/>
        </w:rPr>
        <w:t>28/12/2018;</w:t>
      </w:r>
    </w:p>
    <w:p w14:paraId="3BD34342" w14:textId="77777777" w:rsidR="008472C0" w:rsidRPr="009B7685" w:rsidRDefault="4F2C0FBD" w:rsidP="4F2C0FBD">
      <w:pPr>
        <w:pStyle w:val="Primeirorecuodecorpodetexto"/>
        <w:numPr>
          <w:ilvl w:val="0"/>
          <w:numId w:val="5"/>
        </w:numPr>
        <w:spacing w:after="120"/>
        <w:rPr>
          <w:rFonts w:eastAsiaTheme="minorEastAsia"/>
          <w:b/>
          <w:bCs/>
          <w:sz w:val="24"/>
          <w:szCs w:val="24"/>
        </w:rPr>
      </w:pPr>
      <w:r w:rsidRPr="4F2C0FBD">
        <w:rPr>
          <w:rFonts w:eastAsiaTheme="minorEastAsia"/>
          <w:b/>
          <w:bCs/>
          <w:sz w:val="24"/>
          <w:szCs w:val="24"/>
        </w:rPr>
        <w:t xml:space="preserve">TCU – Tribunal de Contas da União </w:t>
      </w:r>
      <w:r w:rsidRPr="4F2C0FBD">
        <w:rPr>
          <w:rFonts w:eastAsiaTheme="minorEastAsia"/>
          <w:sz w:val="24"/>
          <w:szCs w:val="24"/>
        </w:rPr>
        <w:t xml:space="preserve">–Pregão Eletrônico 54/2018 – Contratação de equipamentos de armazenamento de dados central, equipamentos de armazenamento de dados departamental e expansão para equipamentos em uso.  </w:t>
      </w:r>
    </w:p>
    <w:p w14:paraId="32C81950" w14:textId="77777777" w:rsidR="008472C0" w:rsidRPr="009B7685" w:rsidRDefault="4F2C0FBD" w:rsidP="4F2C0FBD">
      <w:pPr>
        <w:pStyle w:val="Primeirorecuodecorpodetexto"/>
        <w:numPr>
          <w:ilvl w:val="1"/>
          <w:numId w:val="5"/>
        </w:numPr>
        <w:spacing w:after="120"/>
        <w:rPr>
          <w:rFonts w:eastAsiaTheme="minorEastAsia"/>
          <w:b/>
          <w:bCs/>
          <w:sz w:val="24"/>
          <w:szCs w:val="24"/>
        </w:rPr>
      </w:pPr>
      <w:r w:rsidRPr="4F2C0FBD">
        <w:rPr>
          <w:rFonts w:eastAsiaTheme="minorEastAsia"/>
          <w:b/>
          <w:bCs/>
          <w:sz w:val="24"/>
          <w:szCs w:val="24"/>
        </w:rPr>
        <w:t xml:space="preserve">Data do Pregão Eletrônico: </w:t>
      </w:r>
      <w:r w:rsidRPr="4F2C0FBD">
        <w:rPr>
          <w:rFonts w:eastAsiaTheme="minorEastAsia"/>
          <w:sz w:val="24"/>
          <w:szCs w:val="24"/>
        </w:rPr>
        <w:t>06/08/2018;</w:t>
      </w:r>
    </w:p>
    <w:p w14:paraId="417FDFD7" w14:textId="77777777" w:rsidR="008472C0" w:rsidRPr="009B7685" w:rsidRDefault="4F2C0FBD" w:rsidP="4F2C0FBD">
      <w:pPr>
        <w:pStyle w:val="Primeirorecuodecorpodetexto"/>
        <w:numPr>
          <w:ilvl w:val="0"/>
          <w:numId w:val="5"/>
        </w:numPr>
        <w:spacing w:after="120"/>
        <w:rPr>
          <w:rFonts w:eastAsiaTheme="minorEastAsia"/>
          <w:b/>
          <w:bCs/>
          <w:sz w:val="24"/>
          <w:szCs w:val="24"/>
        </w:rPr>
      </w:pPr>
      <w:r w:rsidRPr="4F2C0FBD">
        <w:rPr>
          <w:rFonts w:eastAsiaTheme="minorEastAsia"/>
          <w:b/>
          <w:bCs/>
          <w:sz w:val="24"/>
          <w:szCs w:val="24"/>
        </w:rPr>
        <w:t>Procuradoria-Geral de Justiça do Estado de Sergipe</w:t>
      </w:r>
      <w:r w:rsidRPr="4F2C0FBD">
        <w:rPr>
          <w:rFonts w:eastAsiaTheme="minorEastAsia"/>
          <w:sz w:val="24"/>
          <w:szCs w:val="24"/>
        </w:rPr>
        <w:t xml:space="preserve"> – Pregão Eletrônico 19/2018 – Aquisição de equipamentos para ampliação do sistema corporativo de armazenamento de dados (storage) do Ministério Público do Estado de Sergipe, incluindo serviços de instalação e garantia por 36 (trinta e seis) meses, conforme Termo de Referência, Anexo I do Edital.</w:t>
      </w:r>
    </w:p>
    <w:p w14:paraId="61BB0369" w14:textId="77777777" w:rsidR="008472C0" w:rsidRPr="009B7685" w:rsidRDefault="4F2C0FBD" w:rsidP="4F2C0FBD">
      <w:pPr>
        <w:pStyle w:val="Primeirorecuodecorpodetexto"/>
        <w:numPr>
          <w:ilvl w:val="1"/>
          <w:numId w:val="5"/>
        </w:numPr>
        <w:spacing w:after="120"/>
        <w:rPr>
          <w:rFonts w:eastAsiaTheme="minorEastAsia"/>
          <w:b/>
          <w:bCs/>
          <w:sz w:val="24"/>
          <w:szCs w:val="24"/>
        </w:rPr>
      </w:pPr>
      <w:r w:rsidRPr="4F2C0FBD">
        <w:rPr>
          <w:rFonts w:eastAsiaTheme="minorEastAsia"/>
          <w:b/>
          <w:bCs/>
          <w:sz w:val="24"/>
          <w:szCs w:val="24"/>
        </w:rPr>
        <w:t xml:space="preserve">Data do Pregão Eletrônico: </w:t>
      </w:r>
      <w:r w:rsidRPr="4F2C0FBD">
        <w:rPr>
          <w:rFonts w:eastAsiaTheme="minorEastAsia"/>
          <w:sz w:val="24"/>
          <w:szCs w:val="24"/>
        </w:rPr>
        <w:t>29/08/2018.</w:t>
      </w:r>
    </w:p>
    <w:p w14:paraId="5E7EB7D9" w14:textId="047E8FB4" w:rsidR="008472C0" w:rsidRPr="009B7685" w:rsidRDefault="4F2C0FBD" w:rsidP="4F2C0FBD">
      <w:pPr>
        <w:pStyle w:val="Primeirorecuodecorpodetexto"/>
        <w:spacing w:after="120"/>
        <w:ind w:firstLine="709"/>
        <w:rPr>
          <w:rFonts w:eastAsiaTheme="minorEastAsia"/>
          <w:b/>
          <w:bCs/>
          <w:sz w:val="24"/>
          <w:szCs w:val="24"/>
        </w:rPr>
      </w:pPr>
      <w:r w:rsidRPr="4F2C0FBD">
        <w:rPr>
          <w:rFonts w:eastAsiaTheme="minorEastAsia"/>
          <w:sz w:val="24"/>
          <w:szCs w:val="24"/>
        </w:rPr>
        <w:t xml:space="preserve">A pesquisa realizada na </w:t>
      </w:r>
      <w:r w:rsidRPr="4F2C0FBD">
        <w:rPr>
          <w:rFonts w:eastAsiaTheme="minorEastAsia"/>
          <w:i/>
          <w:iCs/>
          <w:sz w:val="24"/>
          <w:szCs w:val="24"/>
        </w:rPr>
        <w:t>internet</w:t>
      </w:r>
      <w:r w:rsidRPr="4F2C0FBD">
        <w:rPr>
          <w:rFonts w:eastAsiaTheme="minorEastAsia"/>
          <w:sz w:val="24"/>
          <w:szCs w:val="24"/>
        </w:rPr>
        <w:t xml:space="preserve"> não apresentou resultado com o mesmo tipo de equipamento ou com capacidade de armazenamento de dados equivalente à necessidade deste PJMT. Isto porque a pretendida contratação envolve, além da aquisição de equipamentos com suporte técnico e garantia, capacitação e </w:t>
      </w:r>
      <w:r w:rsidRPr="4F2C0FBD">
        <w:rPr>
          <w:rFonts w:eastAsiaTheme="minorEastAsia"/>
          <w:i/>
          <w:iCs/>
          <w:sz w:val="24"/>
          <w:szCs w:val="24"/>
        </w:rPr>
        <w:t>moving</w:t>
      </w:r>
      <w:r w:rsidRPr="4F2C0FBD">
        <w:rPr>
          <w:rFonts w:eastAsiaTheme="minorEastAsia"/>
          <w:sz w:val="24"/>
          <w:szCs w:val="24"/>
        </w:rPr>
        <w:t xml:space="preserve"> dos </w:t>
      </w:r>
      <w:r w:rsidRPr="4F2C0FBD">
        <w:rPr>
          <w:rFonts w:eastAsiaTheme="minorEastAsia"/>
          <w:i/>
          <w:iCs/>
          <w:sz w:val="24"/>
          <w:szCs w:val="24"/>
        </w:rPr>
        <w:t>storages</w:t>
      </w:r>
      <w:r w:rsidRPr="4F2C0FBD">
        <w:rPr>
          <w:rFonts w:eastAsiaTheme="minorEastAsia"/>
          <w:sz w:val="24"/>
          <w:szCs w:val="24"/>
        </w:rPr>
        <w:t xml:space="preserve"> VSP e AMS 1000. Desta forma, diante das peculiaridades, rara outra contratação no mercado de TIC de mesmo objeto.</w:t>
      </w:r>
      <w:r w:rsidR="00F64C1B">
        <w:rPr>
          <w:rFonts w:eastAsiaTheme="minorEastAsia"/>
          <w:sz w:val="24"/>
          <w:szCs w:val="24"/>
        </w:rPr>
        <w:t xml:space="preserve"> </w:t>
      </w:r>
    </w:p>
    <w:p w14:paraId="3E5FDE78" w14:textId="77777777" w:rsidR="008472C0" w:rsidRPr="009B7685" w:rsidRDefault="008472C0" w:rsidP="4F2C0FBD">
      <w:pPr>
        <w:pStyle w:val="Ttulo2"/>
        <w:rPr>
          <w:rFonts w:asciiTheme="minorHAnsi" w:eastAsiaTheme="minorEastAsia" w:hAnsiTheme="minorHAnsi" w:cstheme="minorBidi"/>
        </w:rPr>
      </w:pPr>
      <w:bookmarkStart w:id="8" w:name="_Toc534884801"/>
      <w:r w:rsidRPr="4F2C0FBD">
        <w:rPr>
          <w:rFonts w:asciiTheme="minorHAnsi" w:eastAsiaTheme="minorEastAsia" w:hAnsiTheme="minorHAnsi" w:cstheme="minorBidi"/>
        </w:rPr>
        <w:lastRenderedPageBreak/>
        <w:t>Outras Soluções Disponíveis (Art. 14, II, a)</w:t>
      </w:r>
      <w:bookmarkEnd w:id="8"/>
    </w:p>
    <w:p w14:paraId="7EE664E0"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As soluções de outros órgãos / empresas privadas para armazenamento de dados similares à realidade deste PJMT estão citadas no item anterior. </w:t>
      </w:r>
    </w:p>
    <w:p w14:paraId="67B8E9EC" w14:textId="77777777" w:rsidR="008472C0" w:rsidRPr="009B7685" w:rsidRDefault="4F2C0FBD" w:rsidP="4F2C0FBD">
      <w:pPr>
        <w:pStyle w:val="Primeirorecuodecorpodetexto"/>
        <w:spacing w:after="120"/>
        <w:ind w:firstLine="709"/>
        <w:rPr>
          <w:rFonts w:eastAsiaTheme="minorEastAsia"/>
          <w:strike/>
          <w:sz w:val="24"/>
          <w:szCs w:val="24"/>
        </w:rPr>
      </w:pPr>
      <w:r w:rsidRPr="4F2C0FBD">
        <w:rPr>
          <w:rFonts w:eastAsiaTheme="minorEastAsia"/>
          <w:sz w:val="24"/>
          <w:szCs w:val="24"/>
        </w:rPr>
        <w:t xml:space="preserve">Não foi encontrada nenhuma outra solução diferente para o caso. </w:t>
      </w:r>
    </w:p>
    <w:p w14:paraId="3BF2E903" w14:textId="77777777" w:rsidR="008472C0" w:rsidRPr="009B7685" w:rsidRDefault="008472C0" w:rsidP="4F2C0FBD">
      <w:pPr>
        <w:pStyle w:val="Ttulo2"/>
        <w:rPr>
          <w:rFonts w:asciiTheme="minorHAnsi" w:eastAsiaTheme="minorEastAsia" w:hAnsiTheme="minorHAnsi" w:cstheme="minorBidi"/>
        </w:rPr>
      </w:pPr>
      <w:bookmarkStart w:id="9" w:name="_Toc534884802"/>
      <w:r w:rsidRPr="4F2C0FBD">
        <w:rPr>
          <w:rFonts w:asciiTheme="minorHAnsi" w:eastAsiaTheme="minorEastAsia" w:hAnsiTheme="minorHAnsi" w:cstheme="minorBidi"/>
        </w:rPr>
        <w:t>Portal do Software Público Brasileiro (Art. 14, II, b)</w:t>
      </w:r>
      <w:bookmarkEnd w:id="9"/>
    </w:p>
    <w:p w14:paraId="70E1EF9A"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Não se aplica ao contexto deste Estudo Preliminar, vez que a demanda está relacionada à aquisição de </w:t>
      </w:r>
      <w:r w:rsidRPr="4F2C0FBD">
        <w:rPr>
          <w:rFonts w:eastAsiaTheme="minorEastAsia"/>
          <w:i/>
          <w:iCs/>
          <w:sz w:val="24"/>
          <w:szCs w:val="24"/>
        </w:rPr>
        <w:t>storages</w:t>
      </w:r>
      <w:r w:rsidRPr="4F2C0FBD">
        <w:rPr>
          <w:rFonts w:eastAsiaTheme="minorEastAsia"/>
          <w:sz w:val="24"/>
          <w:szCs w:val="24"/>
        </w:rPr>
        <w:t>.</w:t>
      </w:r>
    </w:p>
    <w:p w14:paraId="26B1ED25" w14:textId="77777777" w:rsidR="008472C0" w:rsidRPr="009B7685" w:rsidRDefault="008472C0" w:rsidP="4F2C0FBD">
      <w:pPr>
        <w:pStyle w:val="Ttulo2"/>
        <w:rPr>
          <w:rFonts w:asciiTheme="minorHAnsi" w:eastAsiaTheme="minorEastAsia" w:hAnsiTheme="minorHAnsi" w:cstheme="minorBidi"/>
        </w:rPr>
      </w:pPr>
      <w:bookmarkStart w:id="10" w:name="_Toc534884803"/>
      <w:r w:rsidRPr="4F2C0FBD">
        <w:rPr>
          <w:rFonts w:asciiTheme="minorHAnsi" w:eastAsiaTheme="minorEastAsia" w:hAnsiTheme="minorHAnsi" w:cstheme="minorBidi"/>
        </w:rPr>
        <w:t>Alternativa no Mercado de TIC (Art. 14, II, c)</w:t>
      </w:r>
      <w:bookmarkEnd w:id="10"/>
    </w:p>
    <w:p w14:paraId="12E36435"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Não há alternativa no mercado de TIC que não as que já explicitadas neste Estudo Preliminar.</w:t>
      </w:r>
    </w:p>
    <w:p w14:paraId="38880ED6" w14:textId="77777777" w:rsidR="008472C0" w:rsidRPr="009B7685" w:rsidRDefault="008472C0" w:rsidP="4F2C0FBD">
      <w:pPr>
        <w:pStyle w:val="Ttulo2"/>
        <w:rPr>
          <w:rFonts w:asciiTheme="minorHAnsi" w:eastAsiaTheme="minorEastAsia" w:hAnsiTheme="minorHAnsi" w:cstheme="minorBidi"/>
        </w:rPr>
      </w:pPr>
      <w:bookmarkStart w:id="11" w:name="_Toc534884804"/>
      <w:r w:rsidRPr="4F2C0FBD">
        <w:rPr>
          <w:rFonts w:asciiTheme="minorHAnsi" w:eastAsiaTheme="minorEastAsia" w:hAnsiTheme="minorHAnsi" w:cstheme="minorBidi"/>
        </w:rPr>
        <w:t>Modelo Nacional de Interoperabilidade – MNI (Art. 14, II, d)</w:t>
      </w:r>
      <w:bookmarkEnd w:id="11"/>
    </w:p>
    <w:p w14:paraId="56ADE974"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Não se aplica ao contexto deste Estudo Preliminar, vez que a demanda está relacionada à aquisição de </w:t>
      </w:r>
      <w:r w:rsidRPr="4F2C0FBD">
        <w:rPr>
          <w:rFonts w:eastAsiaTheme="minorEastAsia"/>
          <w:i/>
          <w:iCs/>
          <w:sz w:val="24"/>
          <w:szCs w:val="24"/>
        </w:rPr>
        <w:t>storages</w:t>
      </w:r>
      <w:r w:rsidRPr="4F2C0FBD">
        <w:rPr>
          <w:rFonts w:eastAsiaTheme="minorEastAsia"/>
          <w:sz w:val="24"/>
          <w:szCs w:val="24"/>
        </w:rPr>
        <w:t>.</w:t>
      </w:r>
    </w:p>
    <w:p w14:paraId="68E1EC71" w14:textId="77777777" w:rsidR="008472C0" w:rsidRPr="009B7685" w:rsidRDefault="008472C0" w:rsidP="4F2C0FBD">
      <w:pPr>
        <w:pStyle w:val="Ttulo2"/>
        <w:rPr>
          <w:rFonts w:asciiTheme="minorHAnsi" w:eastAsiaTheme="minorEastAsia" w:hAnsiTheme="minorHAnsi" w:cstheme="minorBidi"/>
        </w:rPr>
      </w:pPr>
      <w:bookmarkStart w:id="12" w:name="_Toc534884805"/>
      <w:r w:rsidRPr="4F2C0FBD">
        <w:rPr>
          <w:rFonts w:asciiTheme="minorHAnsi" w:eastAsiaTheme="minorEastAsia" w:hAnsiTheme="minorHAnsi" w:cstheme="minorBidi"/>
        </w:rPr>
        <w:t>Infraestrutura de Chaves Públicas Brasileira – ICP-Brasil (Art. 14, II, e)</w:t>
      </w:r>
      <w:bookmarkEnd w:id="12"/>
    </w:p>
    <w:p w14:paraId="3E389B12"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Não se aplica ao contexto deste Estudo Preliminar, vez que a demanda está relacionada à aquisição de </w:t>
      </w:r>
      <w:r w:rsidRPr="4F2C0FBD">
        <w:rPr>
          <w:rFonts w:eastAsiaTheme="minorEastAsia"/>
          <w:i/>
          <w:iCs/>
          <w:sz w:val="24"/>
          <w:szCs w:val="24"/>
        </w:rPr>
        <w:t>storages</w:t>
      </w:r>
      <w:r w:rsidRPr="4F2C0FBD">
        <w:rPr>
          <w:rFonts w:eastAsiaTheme="minorEastAsia"/>
          <w:sz w:val="24"/>
          <w:szCs w:val="24"/>
        </w:rPr>
        <w:t>, o qual não apresenta relação direta com sistema de chaves públicas.</w:t>
      </w:r>
    </w:p>
    <w:p w14:paraId="1CA1CA39" w14:textId="77777777" w:rsidR="008472C0" w:rsidRPr="009B7685" w:rsidRDefault="008472C0" w:rsidP="4F2C0FBD">
      <w:pPr>
        <w:pStyle w:val="Ttulo2"/>
        <w:rPr>
          <w:rFonts w:asciiTheme="minorHAnsi" w:eastAsiaTheme="minorEastAsia" w:hAnsiTheme="minorHAnsi" w:cstheme="minorBidi"/>
        </w:rPr>
      </w:pPr>
      <w:bookmarkStart w:id="13" w:name="_Toc534884806"/>
      <w:r w:rsidRPr="4F2C0FBD">
        <w:rPr>
          <w:rFonts w:asciiTheme="minorHAnsi" w:eastAsiaTheme="minorEastAsia" w:hAnsiTheme="minorHAnsi" w:cstheme="minorBidi"/>
        </w:rPr>
        <w:t>Modelo de Requisitos Moreq-Jus (Art. 14, II, f)</w:t>
      </w:r>
      <w:bookmarkEnd w:id="13"/>
    </w:p>
    <w:p w14:paraId="05D7A788" w14:textId="77777777" w:rsidR="008472C0" w:rsidRPr="009B7685" w:rsidRDefault="008472C0" w:rsidP="4F2C0FBD">
      <w:pPr>
        <w:pStyle w:val="Primeirorecuodecorpodetexto"/>
        <w:spacing w:after="120"/>
        <w:ind w:firstLine="709"/>
        <w:rPr>
          <w:rFonts w:eastAsiaTheme="minorEastAsia"/>
          <w:sz w:val="24"/>
          <w:szCs w:val="24"/>
        </w:rPr>
      </w:pPr>
      <w:bookmarkStart w:id="14" w:name="_Toc359341411"/>
      <w:bookmarkStart w:id="15" w:name="_Toc359341518"/>
      <w:bookmarkStart w:id="16" w:name="_Toc359946174"/>
      <w:bookmarkStart w:id="17" w:name="_Toc359946276"/>
      <w:bookmarkStart w:id="18" w:name="_Toc359340270"/>
      <w:bookmarkStart w:id="19" w:name="_Toc359341413"/>
      <w:bookmarkStart w:id="20" w:name="_Toc359341520"/>
      <w:bookmarkStart w:id="21" w:name="_Toc359946176"/>
      <w:bookmarkStart w:id="22" w:name="_Toc359946278"/>
      <w:bookmarkStart w:id="23" w:name="_Toc359340271"/>
      <w:bookmarkStart w:id="24" w:name="_Toc359341414"/>
      <w:bookmarkStart w:id="25" w:name="_Toc359341521"/>
      <w:bookmarkStart w:id="26" w:name="_Toc359946177"/>
      <w:bookmarkStart w:id="27" w:name="_Toc359946279"/>
      <w:bookmarkStart w:id="28" w:name="_Toc359340272"/>
      <w:bookmarkStart w:id="29" w:name="_Toc359341415"/>
      <w:bookmarkStart w:id="30" w:name="_Toc359341522"/>
      <w:bookmarkStart w:id="31" w:name="_Toc359946178"/>
      <w:bookmarkStart w:id="32" w:name="_Toc359946280"/>
      <w:bookmarkStart w:id="33" w:name="_Toc345580226"/>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4F2C0FBD">
        <w:rPr>
          <w:rFonts w:eastAsiaTheme="minorEastAsia"/>
          <w:sz w:val="24"/>
          <w:szCs w:val="24"/>
        </w:rPr>
        <w:t xml:space="preserve">Não se aplica ao contexto deste Estudo Preliminar, vez que a demanda está relacionada à aquisição de </w:t>
      </w:r>
      <w:r w:rsidRPr="4F2C0FBD">
        <w:rPr>
          <w:rFonts w:eastAsiaTheme="minorEastAsia"/>
          <w:i/>
          <w:iCs/>
          <w:sz w:val="24"/>
          <w:szCs w:val="24"/>
        </w:rPr>
        <w:t>storages</w:t>
      </w:r>
      <w:r w:rsidRPr="4F2C0FBD">
        <w:rPr>
          <w:rFonts w:eastAsiaTheme="minorEastAsia"/>
          <w:sz w:val="24"/>
          <w:szCs w:val="24"/>
        </w:rPr>
        <w:t>.</w:t>
      </w:r>
    </w:p>
    <w:p w14:paraId="3D42B013" w14:textId="77777777" w:rsidR="008472C0" w:rsidRPr="009B7685" w:rsidRDefault="008472C0" w:rsidP="4F2C0FBD">
      <w:pPr>
        <w:pStyle w:val="Ttulo2"/>
        <w:rPr>
          <w:rFonts w:asciiTheme="minorHAnsi" w:eastAsiaTheme="minorEastAsia" w:hAnsiTheme="minorHAnsi" w:cstheme="minorBidi"/>
        </w:rPr>
      </w:pPr>
      <w:bookmarkStart w:id="34" w:name="_Toc534884807"/>
      <w:r w:rsidRPr="4F2C0FBD">
        <w:rPr>
          <w:rFonts w:asciiTheme="minorHAnsi" w:eastAsiaTheme="minorEastAsia" w:hAnsiTheme="minorHAnsi" w:cstheme="minorBidi"/>
        </w:rPr>
        <w:t>Análise dos Custos Totais</w:t>
      </w:r>
      <w:bookmarkEnd w:id="33"/>
      <w:r w:rsidRPr="4F2C0FBD">
        <w:rPr>
          <w:rFonts w:asciiTheme="minorHAnsi" w:eastAsiaTheme="minorEastAsia" w:hAnsiTheme="minorHAnsi" w:cstheme="minorBidi"/>
        </w:rPr>
        <w:t xml:space="preserve"> da Demanda (Art. 14, III)</w:t>
      </w:r>
      <w:bookmarkEnd w:id="34"/>
    </w:p>
    <w:p w14:paraId="42698E10" w14:textId="77777777" w:rsidR="008472C0"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Os custos da presente contratação abrangem os equipamentos instalados e configurados, serviços de suporte e garantia, capacitação e </w:t>
      </w:r>
      <w:r w:rsidRPr="4F2C0FBD">
        <w:rPr>
          <w:rFonts w:eastAsiaTheme="minorEastAsia"/>
          <w:i/>
          <w:iCs/>
          <w:sz w:val="24"/>
          <w:szCs w:val="24"/>
        </w:rPr>
        <w:t>moving</w:t>
      </w:r>
      <w:r w:rsidRPr="4F2C0FBD">
        <w:rPr>
          <w:rFonts w:eastAsiaTheme="minorEastAsia"/>
          <w:sz w:val="24"/>
          <w:szCs w:val="24"/>
        </w:rPr>
        <w:t xml:space="preserve"> dos storages VSP e AMS 1000.</w:t>
      </w:r>
    </w:p>
    <w:p w14:paraId="3578253F" w14:textId="5A17DE82" w:rsidR="007942AD" w:rsidRPr="00E4500C" w:rsidRDefault="007942AD" w:rsidP="005C2772">
      <w:pPr>
        <w:pStyle w:val="Primeirorecuodecorpodetexto"/>
        <w:spacing w:after="120"/>
        <w:ind w:firstLine="709"/>
        <w:rPr>
          <w:rFonts w:eastAsiaTheme="minorEastAsia"/>
          <w:sz w:val="24"/>
          <w:szCs w:val="24"/>
        </w:rPr>
      </w:pPr>
      <w:r w:rsidRPr="00E4500C">
        <w:rPr>
          <w:rFonts w:eastAsiaTheme="minorEastAsia"/>
          <w:sz w:val="24"/>
          <w:szCs w:val="24"/>
        </w:rPr>
        <w:t xml:space="preserve">Com base nos dados obtidos de contratações públicas (exemplo: TRF 54/2018, em quatro soluções </w:t>
      </w:r>
      <w:r w:rsidR="000F3BD1" w:rsidRPr="00E4500C">
        <w:rPr>
          <w:rFonts w:eastAsiaTheme="minorEastAsia"/>
          <w:sz w:val="24"/>
          <w:szCs w:val="24"/>
        </w:rPr>
        <w:t xml:space="preserve">de storage </w:t>
      </w:r>
      <w:r w:rsidRPr="00E4500C">
        <w:rPr>
          <w:rFonts w:eastAsiaTheme="minorEastAsia"/>
          <w:sz w:val="24"/>
          <w:szCs w:val="24"/>
        </w:rPr>
        <w:t>distintas, com mais de um fabricante homologado</w:t>
      </w:r>
      <w:r w:rsidR="00EB59D5" w:rsidRPr="00E4500C">
        <w:rPr>
          <w:rFonts w:eastAsiaTheme="minorEastAsia"/>
          <w:sz w:val="24"/>
          <w:szCs w:val="24"/>
        </w:rPr>
        <w:t xml:space="preserve"> não entendi</w:t>
      </w:r>
      <w:r w:rsidRPr="00E4500C">
        <w:rPr>
          <w:rFonts w:eastAsiaTheme="minorEastAsia"/>
          <w:sz w:val="24"/>
          <w:szCs w:val="24"/>
        </w:rPr>
        <w:t xml:space="preserve">) e orçamentos </w:t>
      </w:r>
      <w:r w:rsidR="00EB59D5" w:rsidRPr="00E4500C">
        <w:rPr>
          <w:rFonts w:eastAsiaTheme="minorEastAsia"/>
          <w:sz w:val="24"/>
          <w:szCs w:val="24"/>
        </w:rPr>
        <w:t xml:space="preserve">privados </w:t>
      </w:r>
      <w:r w:rsidRPr="00E4500C">
        <w:rPr>
          <w:rFonts w:eastAsiaTheme="minorEastAsia"/>
          <w:sz w:val="24"/>
          <w:szCs w:val="24"/>
        </w:rPr>
        <w:t>de soluções de armazenamento de dados críticos (storage), é possível constatar que do valor total das soluções contratadas, em média 85% está relacionado à aquisição d</w:t>
      </w:r>
      <w:r w:rsidR="00EB59D5" w:rsidRPr="00E4500C">
        <w:rPr>
          <w:rFonts w:eastAsiaTheme="minorEastAsia"/>
          <w:sz w:val="24"/>
          <w:szCs w:val="24"/>
        </w:rPr>
        <w:t>e</w:t>
      </w:r>
      <w:r w:rsidRPr="00E4500C">
        <w:rPr>
          <w:rFonts w:eastAsiaTheme="minorEastAsia"/>
          <w:sz w:val="24"/>
          <w:szCs w:val="24"/>
        </w:rPr>
        <w:t xml:space="preserve"> equipamentos (hardware), enquanto que os 15% restantes englobam os serviços de instalação, configuração, suporte e garantia.</w:t>
      </w:r>
    </w:p>
    <w:p w14:paraId="5D39C4DE" w14:textId="55DF2BD5" w:rsidR="007942AD" w:rsidRPr="00E4500C" w:rsidRDefault="007942AD" w:rsidP="005C2772">
      <w:pPr>
        <w:pStyle w:val="Primeirorecuodecorpodetexto"/>
        <w:spacing w:after="120"/>
        <w:ind w:firstLine="709"/>
        <w:rPr>
          <w:rFonts w:eastAsiaTheme="minorEastAsia"/>
          <w:sz w:val="24"/>
          <w:szCs w:val="24"/>
        </w:rPr>
      </w:pPr>
      <w:r w:rsidRPr="00E4500C">
        <w:rPr>
          <w:rFonts w:eastAsiaTheme="minorEastAsia"/>
          <w:sz w:val="24"/>
          <w:szCs w:val="24"/>
        </w:rPr>
        <w:t xml:space="preserve">Deste modo, para definir os valores de referência que compõe a pesquisa de preço em questão, foi utilizado o mesmo parâmetro de proporção </w:t>
      </w:r>
      <w:r w:rsidR="00EB59D5" w:rsidRPr="00E4500C">
        <w:rPr>
          <w:rFonts w:eastAsiaTheme="minorEastAsia"/>
          <w:sz w:val="24"/>
          <w:szCs w:val="24"/>
        </w:rPr>
        <w:t>de forma a se ter</w:t>
      </w:r>
      <w:r w:rsidRPr="00E4500C">
        <w:rPr>
          <w:rFonts w:eastAsiaTheme="minorEastAsia"/>
          <w:sz w:val="24"/>
          <w:szCs w:val="24"/>
        </w:rPr>
        <w:t xml:space="preserve"> valores estimados </w:t>
      </w:r>
      <w:r w:rsidR="00EB59D5" w:rsidRPr="00E4500C">
        <w:rPr>
          <w:rFonts w:eastAsiaTheme="minorEastAsia"/>
          <w:sz w:val="24"/>
          <w:szCs w:val="24"/>
        </w:rPr>
        <w:t>para os</w:t>
      </w:r>
      <w:r w:rsidRPr="00E4500C">
        <w:rPr>
          <w:rFonts w:eastAsiaTheme="minorEastAsia"/>
          <w:sz w:val="24"/>
          <w:szCs w:val="24"/>
        </w:rPr>
        <w:t xml:space="preserve"> itens 1, 2 e 3.</w:t>
      </w:r>
    </w:p>
    <w:p w14:paraId="0C425078" w14:textId="60CAAB3B" w:rsidR="007942AD" w:rsidRPr="00E4500C" w:rsidRDefault="007942AD" w:rsidP="005C2772">
      <w:pPr>
        <w:pStyle w:val="Primeirorecuodecorpodetexto"/>
        <w:spacing w:after="120"/>
        <w:ind w:firstLine="709"/>
        <w:rPr>
          <w:rFonts w:eastAsiaTheme="minorEastAsia"/>
          <w:sz w:val="24"/>
          <w:szCs w:val="24"/>
        </w:rPr>
      </w:pPr>
      <w:r w:rsidRPr="00E4500C">
        <w:rPr>
          <w:rFonts w:eastAsiaTheme="minorEastAsia"/>
          <w:sz w:val="24"/>
          <w:szCs w:val="24"/>
        </w:rPr>
        <w:t xml:space="preserve">Para os </w:t>
      </w:r>
      <w:r w:rsidR="00E4500C" w:rsidRPr="00E4500C">
        <w:rPr>
          <w:rFonts w:eastAsiaTheme="minorEastAsia"/>
          <w:sz w:val="24"/>
          <w:szCs w:val="24"/>
        </w:rPr>
        <w:t>dois</w:t>
      </w:r>
      <w:r w:rsidRPr="00E4500C">
        <w:rPr>
          <w:rFonts w:eastAsiaTheme="minorEastAsia"/>
          <w:sz w:val="24"/>
          <w:szCs w:val="24"/>
        </w:rPr>
        <w:t xml:space="preserve"> casos que referenciam estes itens, foram aplicadas a fórmula abaixo:</w:t>
      </w:r>
    </w:p>
    <w:p w14:paraId="6715BA92" w14:textId="77777777" w:rsidR="007942AD" w:rsidRPr="00E4500C" w:rsidRDefault="007942AD" w:rsidP="005C2772">
      <w:pPr>
        <w:pStyle w:val="Primeirorecuodecorpodetexto"/>
        <w:spacing w:after="120"/>
        <w:ind w:firstLine="709"/>
        <w:rPr>
          <w:rFonts w:eastAsiaTheme="minorEastAsia"/>
          <w:sz w:val="24"/>
          <w:szCs w:val="24"/>
        </w:rPr>
      </w:pPr>
    </w:p>
    <w:p w14:paraId="47A36EF8" w14:textId="77777777" w:rsidR="007942AD" w:rsidRPr="00E4500C" w:rsidRDefault="007942AD" w:rsidP="007942AD">
      <w:pPr>
        <w:jc w:val="center"/>
      </w:pPr>
      <w:r w:rsidRPr="00E4500C">
        <w:rPr>
          <w:noProof/>
        </w:rPr>
        <w:lastRenderedPageBreak/>
        <w:drawing>
          <wp:inline distT="0" distB="0" distL="0" distR="0" wp14:anchorId="352BC808" wp14:editId="6BA5A54F">
            <wp:extent cx="5086350" cy="847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6350" cy="847725"/>
                    </a:xfrm>
                    <a:prstGeom prst="rect">
                      <a:avLst/>
                    </a:prstGeom>
                  </pic:spPr>
                </pic:pic>
              </a:graphicData>
            </a:graphic>
          </wp:inline>
        </w:drawing>
      </w:r>
    </w:p>
    <w:p w14:paraId="63E50A91" w14:textId="77777777" w:rsidR="007942AD" w:rsidRPr="00E4500C" w:rsidRDefault="007942AD" w:rsidP="007942AD">
      <w:pPr>
        <w:jc w:val="both"/>
        <w:rPr>
          <w:b/>
        </w:rPr>
      </w:pPr>
    </w:p>
    <w:p w14:paraId="64D33AC9" w14:textId="77777777" w:rsidR="007942AD" w:rsidRPr="00E4500C" w:rsidRDefault="007942AD" w:rsidP="007942AD">
      <w:pPr>
        <w:jc w:val="both"/>
        <w:rPr>
          <w:b/>
          <w:sz w:val="24"/>
          <w:szCs w:val="24"/>
        </w:rPr>
      </w:pPr>
      <w:r w:rsidRPr="00E4500C">
        <w:rPr>
          <w:b/>
          <w:sz w:val="24"/>
          <w:szCs w:val="24"/>
        </w:rPr>
        <w:t>Legenda da fórmula:</w:t>
      </w:r>
    </w:p>
    <w:p w14:paraId="16831042" w14:textId="77777777" w:rsidR="007942AD" w:rsidRPr="00E4500C" w:rsidRDefault="007942AD" w:rsidP="007942AD">
      <w:pPr>
        <w:jc w:val="both"/>
        <w:rPr>
          <w:sz w:val="24"/>
          <w:szCs w:val="24"/>
        </w:rPr>
      </w:pPr>
      <w:r w:rsidRPr="00E4500C">
        <w:rPr>
          <w:sz w:val="24"/>
          <w:szCs w:val="24"/>
        </w:rPr>
        <w:t>Valor Estimado – VE</w:t>
      </w:r>
    </w:p>
    <w:p w14:paraId="3D136248" w14:textId="77777777" w:rsidR="007942AD" w:rsidRPr="00E4500C" w:rsidRDefault="007942AD" w:rsidP="007942AD">
      <w:pPr>
        <w:jc w:val="both"/>
        <w:rPr>
          <w:sz w:val="24"/>
          <w:szCs w:val="24"/>
        </w:rPr>
      </w:pPr>
      <w:r w:rsidRPr="00E4500C">
        <w:rPr>
          <w:sz w:val="24"/>
          <w:szCs w:val="24"/>
        </w:rPr>
        <w:t>Valor de Referência – VR</w:t>
      </w:r>
    </w:p>
    <w:p w14:paraId="2BAE47BD" w14:textId="77777777" w:rsidR="007942AD" w:rsidRPr="00E4500C" w:rsidRDefault="007942AD" w:rsidP="007942AD">
      <w:pPr>
        <w:jc w:val="both"/>
        <w:rPr>
          <w:sz w:val="24"/>
          <w:szCs w:val="24"/>
        </w:rPr>
      </w:pPr>
      <w:r w:rsidRPr="00E4500C">
        <w:rPr>
          <w:sz w:val="24"/>
          <w:szCs w:val="24"/>
        </w:rPr>
        <w:t>Volume Terabyte Referência – VTR</w:t>
      </w:r>
    </w:p>
    <w:p w14:paraId="5802E07F" w14:textId="77777777" w:rsidR="007942AD" w:rsidRPr="00E4500C" w:rsidRDefault="007942AD" w:rsidP="007942AD">
      <w:pPr>
        <w:jc w:val="both"/>
        <w:rPr>
          <w:sz w:val="24"/>
          <w:szCs w:val="24"/>
        </w:rPr>
      </w:pPr>
      <w:r w:rsidRPr="00E4500C">
        <w:rPr>
          <w:sz w:val="24"/>
          <w:szCs w:val="24"/>
        </w:rPr>
        <w:t>Volume Terabyte Demandado – VTD</w:t>
      </w:r>
    </w:p>
    <w:p w14:paraId="016B42E1" w14:textId="77777777" w:rsidR="007942AD" w:rsidRPr="00E4500C" w:rsidRDefault="007942AD" w:rsidP="007942AD">
      <w:pPr>
        <w:pStyle w:val="PargrafodaLista"/>
        <w:numPr>
          <w:ilvl w:val="0"/>
          <w:numId w:val="26"/>
        </w:numPr>
        <w:spacing w:after="160" w:line="259" w:lineRule="auto"/>
        <w:rPr>
          <w:sz w:val="24"/>
          <w:szCs w:val="24"/>
        </w:rPr>
      </w:pPr>
      <w:r w:rsidRPr="00E4500C">
        <w:rPr>
          <w:sz w:val="24"/>
          <w:szCs w:val="24"/>
        </w:rPr>
        <w:t xml:space="preserve">Item 1 = </w:t>
      </w:r>
      <w:r w:rsidRPr="00E4500C">
        <w:rPr>
          <w:b/>
          <w:sz w:val="24"/>
          <w:szCs w:val="24"/>
        </w:rPr>
        <w:t>1024</w:t>
      </w:r>
      <w:r w:rsidRPr="00E4500C">
        <w:rPr>
          <w:sz w:val="24"/>
          <w:szCs w:val="24"/>
        </w:rPr>
        <w:t xml:space="preserve">, item 2 = </w:t>
      </w:r>
      <w:r w:rsidRPr="00E4500C">
        <w:rPr>
          <w:b/>
          <w:sz w:val="24"/>
          <w:szCs w:val="24"/>
        </w:rPr>
        <w:t>512</w:t>
      </w:r>
      <w:r w:rsidRPr="00E4500C">
        <w:rPr>
          <w:sz w:val="24"/>
          <w:szCs w:val="24"/>
        </w:rPr>
        <w:t xml:space="preserve"> e item 3 = </w:t>
      </w:r>
      <w:r w:rsidRPr="00E4500C">
        <w:rPr>
          <w:b/>
          <w:sz w:val="24"/>
          <w:szCs w:val="24"/>
        </w:rPr>
        <w:t>512</w:t>
      </w:r>
      <w:r w:rsidRPr="00E4500C">
        <w:rPr>
          <w:sz w:val="24"/>
          <w:szCs w:val="24"/>
        </w:rPr>
        <w:t>.</w:t>
      </w:r>
    </w:p>
    <w:p w14:paraId="0AF163F2" w14:textId="77777777" w:rsidR="007942AD" w:rsidRPr="00E4500C" w:rsidRDefault="007942AD" w:rsidP="007942AD">
      <w:pPr>
        <w:jc w:val="both"/>
        <w:rPr>
          <w:sz w:val="24"/>
          <w:szCs w:val="24"/>
        </w:rPr>
      </w:pPr>
      <w:r w:rsidRPr="00E4500C">
        <w:rPr>
          <w:sz w:val="24"/>
          <w:szCs w:val="24"/>
        </w:rPr>
        <w:t>Prazo de Serviços em Meses Referência – MR</w:t>
      </w:r>
    </w:p>
    <w:p w14:paraId="6993E2DA" w14:textId="77777777" w:rsidR="007942AD" w:rsidRPr="00E4500C" w:rsidRDefault="007942AD" w:rsidP="007942AD">
      <w:pPr>
        <w:jc w:val="both"/>
        <w:rPr>
          <w:sz w:val="24"/>
          <w:szCs w:val="24"/>
        </w:rPr>
      </w:pPr>
      <w:r w:rsidRPr="00E4500C">
        <w:rPr>
          <w:sz w:val="24"/>
          <w:szCs w:val="24"/>
        </w:rPr>
        <w:t>Prazo de Serviços em Meses Demandado – MD</w:t>
      </w:r>
    </w:p>
    <w:p w14:paraId="6972A36A" w14:textId="77777777" w:rsidR="007942AD" w:rsidRPr="00E4500C" w:rsidRDefault="007942AD" w:rsidP="007942AD">
      <w:pPr>
        <w:pStyle w:val="PargrafodaLista"/>
        <w:numPr>
          <w:ilvl w:val="0"/>
          <w:numId w:val="26"/>
        </w:numPr>
        <w:spacing w:after="160" w:line="259" w:lineRule="auto"/>
        <w:rPr>
          <w:sz w:val="24"/>
          <w:szCs w:val="24"/>
        </w:rPr>
      </w:pPr>
      <w:r w:rsidRPr="00E4500C">
        <w:rPr>
          <w:sz w:val="24"/>
          <w:szCs w:val="24"/>
        </w:rPr>
        <w:t xml:space="preserve">Item 1 = </w:t>
      </w:r>
      <w:r w:rsidRPr="00E4500C">
        <w:rPr>
          <w:b/>
          <w:sz w:val="24"/>
          <w:szCs w:val="24"/>
        </w:rPr>
        <w:t>36</w:t>
      </w:r>
      <w:r w:rsidRPr="00E4500C">
        <w:rPr>
          <w:sz w:val="24"/>
          <w:szCs w:val="24"/>
        </w:rPr>
        <w:t xml:space="preserve">, item 2 = </w:t>
      </w:r>
      <w:r w:rsidRPr="00E4500C">
        <w:rPr>
          <w:b/>
          <w:sz w:val="24"/>
          <w:szCs w:val="24"/>
        </w:rPr>
        <w:t>24</w:t>
      </w:r>
      <w:r w:rsidRPr="00E4500C">
        <w:rPr>
          <w:sz w:val="24"/>
          <w:szCs w:val="24"/>
        </w:rPr>
        <w:t xml:space="preserve"> e item 3 = </w:t>
      </w:r>
      <w:r w:rsidRPr="00E4500C">
        <w:rPr>
          <w:b/>
          <w:sz w:val="24"/>
          <w:szCs w:val="24"/>
        </w:rPr>
        <w:t>12</w:t>
      </w:r>
      <w:r w:rsidRPr="00E4500C">
        <w:rPr>
          <w:sz w:val="24"/>
          <w:szCs w:val="24"/>
        </w:rPr>
        <w:t>.</w:t>
      </w:r>
    </w:p>
    <w:p w14:paraId="6DF41656" w14:textId="77777777" w:rsidR="007942AD" w:rsidRPr="00E4500C" w:rsidRDefault="007942AD" w:rsidP="007942AD">
      <w:pPr>
        <w:jc w:val="both"/>
        <w:rPr>
          <w:sz w:val="24"/>
          <w:szCs w:val="24"/>
        </w:rPr>
      </w:pPr>
      <w:r w:rsidRPr="00E4500C">
        <w:rPr>
          <w:sz w:val="24"/>
          <w:szCs w:val="24"/>
        </w:rPr>
        <w:t>Fator Redução Anual – FA</w:t>
      </w:r>
    </w:p>
    <w:p w14:paraId="4809D29C" w14:textId="77777777" w:rsidR="007942AD" w:rsidRPr="00E4500C" w:rsidRDefault="007942AD" w:rsidP="007942AD">
      <w:pPr>
        <w:pStyle w:val="PargrafodaLista"/>
        <w:numPr>
          <w:ilvl w:val="0"/>
          <w:numId w:val="26"/>
        </w:numPr>
        <w:spacing w:after="160" w:line="259" w:lineRule="auto"/>
        <w:rPr>
          <w:sz w:val="24"/>
          <w:szCs w:val="24"/>
        </w:rPr>
      </w:pPr>
      <w:r w:rsidRPr="00E4500C">
        <w:rPr>
          <w:sz w:val="24"/>
          <w:szCs w:val="24"/>
        </w:rPr>
        <w:t xml:space="preserve">Item 1 = </w:t>
      </w:r>
      <w:r w:rsidRPr="00E4500C">
        <w:rPr>
          <w:b/>
          <w:sz w:val="24"/>
          <w:szCs w:val="24"/>
        </w:rPr>
        <w:t>1</w:t>
      </w:r>
      <w:r w:rsidRPr="00E4500C">
        <w:rPr>
          <w:sz w:val="24"/>
          <w:szCs w:val="24"/>
        </w:rPr>
        <w:t xml:space="preserve">, item 2 = </w:t>
      </w:r>
      <w:r w:rsidRPr="00E4500C">
        <w:rPr>
          <w:b/>
          <w:sz w:val="24"/>
          <w:szCs w:val="24"/>
        </w:rPr>
        <w:t>0,9</w:t>
      </w:r>
      <w:r w:rsidRPr="00E4500C">
        <w:rPr>
          <w:sz w:val="24"/>
          <w:szCs w:val="24"/>
        </w:rPr>
        <w:t xml:space="preserve"> e item 3 = </w:t>
      </w:r>
      <w:r w:rsidRPr="00E4500C">
        <w:rPr>
          <w:b/>
          <w:sz w:val="24"/>
          <w:szCs w:val="24"/>
        </w:rPr>
        <w:t>0,8</w:t>
      </w:r>
      <w:r w:rsidRPr="00E4500C">
        <w:rPr>
          <w:sz w:val="24"/>
          <w:szCs w:val="24"/>
        </w:rPr>
        <w:t>.</w:t>
      </w:r>
    </w:p>
    <w:p w14:paraId="54A2B2E6" w14:textId="5D10622D" w:rsidR="007942AD" w:rsidRPr="00E4500C" w:rsidRDefault="007942AD" w:rsidP="005C2772">
      <w:pPr>
        <w:pStyle w:val="Primeirorecuodecorpodetexto"/>
        <w:spacing w:after="120"/>
        <w:ind w:firstLine="709"/>
        <w:rPr>
          <w:rFonts w:eastAsiaTheme="minorEastAsia"/>
          <w:sz w:val="24"/>
          <w:szCs w:val="24"/>
        </w:rPr>
      </w:pPr>
      <w:r w:rsidRPr="00E4500C">
        <w:rPr>
          <w:rFonts w:eastAsiaTheme="minorEastAsia"/>
          <w:sz w:val="24"/>
          <w:szCs w:val="24"/>
        </w:rPr>
        <w:t>Contextualizando a fór</w:t>
      </w:r>
      <w:r w:rsidR="00571016" w:rsidRPr="00E4500C">
        <w:rPr>
          <w:rFonts w:eastAsiaTheme="minorEastAsia"/>
          <w:sz w:val="24"/>
          <w:szCs w:val="24"/>
        </w:rPr>
        <w:t>mula acima, para obtenção</w:t>
      </w:r>
      <w:r w:rsidRPr="00E4500C">
        <w:rPr>
          <w:rFonts w:eastAsiaTheme="minorEastAsia"/>
          <w:sz w:val="24"/>
          <w:szCs w:val="24"/>
        </w:rPr>
        <w:t xml:space="preserve"> </w:t>
      </w:r>
      <w:r w:rsidR="00571016" w:rsidRPr="00E4500C">
        <w:rPr>
          <w:rFonts w:eastAsiaTheme="minorEastAsia"/>
          <w:sz w:val="24"/>
          <w:szCs w:val="24"/>
        </w:rPr>
        <w:t>d</w:t>
      </w:r>
      <w:r w:rsidRPr="00E4500C">
        <w:rPr>
          <w:rFonts w:eastAsiaTheme="minorEastAsia"/>
          <w:sz w:val="24"/>
          <w:szCs w:val="24"/>
        </w:rPr>
        <w:t>o valor estimado unitário dos itens 1</w:t>
      </w:r>
      <w:r w:rsidR="000F3BD1" w:rsidRPr="00E4500C">
        <w:rPr>
          <w:rFonts w:eastAsiaTheme="minorEastAsia"/>
          <w:sz w:val="24"/>
          <w:szCs w:val="24"/>
        </w:rPr>
        <w:t xml:space="preserve">, 2 e 3, </w:t>
      </w:r>
      <w:r w:rsidR="00571016" w:rsidRPr="00E4500C">
        <w:rPr>
          <w:rFonts w:eastAsiaTheme="minorEastAsia"/>
          <w:sz w:val="24"/>
          <w:szCs w:val="24"/>
        </w:rPr>
        <w:t xml:space="preserve">fora </w:t>
      </w:r>
      <w:r w:rsidR="000F3BD1" w:rsidRPr="00E4500C">
        <w:rPr>
          <w:rFonts w:eastAsiaTheme="minorEastAsia"/>
          <w:sz w:val="24"/>
          <w:szCs w:val="24"/>
        </w:rPr>
        <w:t>aplica</w:t>
      </w:r>
      <w:r w:rsidR="00571016" w:rsidRPr="00E4500C">
        <w:rPr>
          <w:rFonts w:eastAsiaTheme="minorEastAsia"/>
          <w:sz w:val="24"/>
          <w:szCs w:val="24"/>
        </w:rPr>
        <w:t>do</w:t>
      </w:r>
      <w:r w:rsidR="000F3BD1" w:rsidRPr="00E4500C">
        <w:rPr>
          <w:rFonts w:eastAsiaTheme="minorEastAsia"/>
          <w:sz w:val="24"/>
          <w:szCs w:val="24"/>
        </w:rPr>
        <w:t xml:space="preserve"> o fator de 85</w:t>
      </w:r>
      <w:r w:rsidRPr="00E4500C">
        <w:rPr>
          <w:rFonts w:eastAsiaTheme="minorEastAsia"/>
          <w:sz w:val="24"/>
          <w:szCs w:val="24"/>
        </w:rPr>
        <w:t xml:space="preserve">% sobre o valor total de referência (para hardware), com a devida proporção entre os volumes de dados comparados. </w:t>
      </w:r>
    </w:p>
    <w:p w14:paraId="00B61493" w14:textId="2B230906" w:rsidR="007942AD" w:rsidRPr="00E4500C" w:rsidRDefault="007942AD" w:rsidP="005C2772">
      <w:pPr>
        <w:pStyle w:val="Primeirorecuodecorpodetexto"/>
        <w:spacing w:after="120"/>
        <w:ind w:firstLine="709"/>
        <w:rPr>
          <w:rFonts w:eastAsiaTheme="minorEastAsia"/>
          <w:sz w:val="24"/>
          <w:szCs w:val="24"/>
        </w:rPr>
      </w:pPr>
      <w:r w:rsidRPr="00E4500C">
        <w:rPr>
          <w:rFonts w:eastAsiaTheme="minorEastAsia"/>
          <w:sz w:val="24"/>
          <w:szCs w:val="24"/>
        </w:rPr>
        <w:t xml:space="preserve">Em seguida, </w:t>
      </w:r>
      <w:r w:rsidR="00571016" w:rsidRPr="00E4500C">
        <w:rPr>
          <w:rFonts w:eastAsiaTheme="minorEastAsia"/>
          <w:sz w:val="24"/>
          <w:szCs w:val="24"/>
        </w:rPr>
        <w:t xml:space="preserve">procedeu-se a </w:t>
      </w:r>
      <w:r w:rsidRPr="00E4500C">
        <w:rPr>
          <w:rFonts w:eastAsiaTheme="minorEastAsia"/>
          <w:sz w:val="24"/>
          <w:szCs w:val="24"/>
        </w:rPr>
        <w:t xml:space="preserve">soma </w:t>
      </w:r>
      <w:r w:rsidR="00571016" w:rsidRPr="00E4500C">
        <w:rPr>
          <w:rFonts w:eastAsiaTheme="minorEastAsia"/>
          <w:sz w:val="24"/>
          <w:szCs w:val="24"/>
        </w:rPr>
        <w:t>d</w:t>
      </w:r>
      <w:r w:rsidRPr="00E4500C">
        <w:rPr>
          <w:rFonts w:eastAsiaTheme="minorEastAsia"/>
          <w:sz w:val="24"/>
          <w:szCs w:val="24"/>
        </w:rPr>
        <w:t>esse valor de hardware</w:t>
      </w:r>
      <w:r w:rsidR="00571016" w:rsidRPr="00E4500C">
        <w:rPr>
          <w:rFonts w:eastAsiaTheme="minorEastAsia"/>
          <w:sz w:val="24"/>
          <w:szCs w:val="24"/>
        </w:rPr>
        <w:t xml:space="preserve"> com</w:t>
      </w:r>
      <w:r w:rsidRPr="00E4500C">
        <w:rPr>
          <w:rFonts w:eastAsiaTheme="minorEastAsia"/>
          <w:sz w:val="24"/>
          <w:szCs w:val="24"/>
        </w:rPr>
        <w:t xml:space="preserve"> o cálculo </w:t>
      </w:r>
      <w:r w:rsidR="000F3BD1" w:rsidRPr="00E4500C">
        <w:rPr>
          <w:rFonts w:eastAsiaTheme="minorEastAsia"/>
          <w:sz w:val="24"/>
          <w:szCs w:val="24"/>
        </w:rPr>
        <w:t>referente aos serviços (demais 15</w:t>
      </w:r>
      <w:r w:rsidRPr="00E4500C">
        <w:rPr>
          <w:rFonts w:eastAsiaTheme="minorEastAsia"/>
          <w:sz w:val="24"/>
          <w:szCs w:val="24"/>
        </w:rPr>
        <w:t xml:space="preserve">% sobre o </w:t>
      </w:r>
      <w:r w:rsidR="00571016" w:rsidRPr="00E4500C">
        <w:rPr>
          <w:rFonts w:eastAsiaTheme="minorEastAsia"/>
          <w:sz w:val="24"/>
          <w:szCs w:val="24"/>
        </w:rPr>
        <w:t xml:space="preserve">valor de referência), aplicando-se, da mesma forma, </w:t>
      </w:r>
      <w:r w:rsidRPr="00E4500C">
        <w:rPr>
          <w:rFonts w:eastAsiaTheme="minorEastAsia"/>
          <w:sz w:val="24"/>
          <w:szCs w:val="24"/>
        </w:rPr>
        <w:t xml:space="preserve">as devidas proporções de tempo (meses) e </w:t>
      </w:r>
      <w:r w:rsidR="00571016" w:rsidRPr="00E4500C">
        <w:rPr>
          <w:rFonts w:eastAsiaTheme="minorEastAsia"/>
          <w:sz w:val="24"/>
          <w:szCs w:val="24"/>
        </w:rPr>
        <w:t>de</w:t>
      </w:r>
      <w:r w:rsidRPr="00E4500C">
        <w:rPr>
          <w:rFonts w:eastAsiaTheme="minorEastAsia"/>
          <w:sz w:val="24"/>
          <w:szCs w:val="24"/>
        </w:rPr>
        <w:t xml:space="preserve"> volume de dados sobre o qual será prestado tal serviço.</w:t>
      </w:r>
    </w:p>
    <w:p w14:paraId="643FF7E8" w14:textId="43373173" w:rsidR="007942AD" w:rsidRPr="00E4500C" w:rsidRDefault="007942AD" w:rsidP="005C2772">
      <w:pPr>
        <w:pStyle w:val="Primeirorecuodecorpodetexto"/>
        <w:spacing w:after="120"/>
        <w:ind w:firstLine="709"/>
        <w:rPr>
          <w:rFonts w:eastAsiaTheme="minorEastAsia"/>
          <w:sz w:val="24"/>
          <w:szCs w:val="24"/>
        </w:rPr>
      </w:pPr>
      <w:r w:rsidRPr="00E4500C">
        <w:rPr>
          <w:rFonts w:eastAsiaTheme="minorEastAsia"/>
          <w:sz w:val="24"/>
          <w:szCs w:val="24"/>
        </w:rPr>
        <w:t xml:space="preserve">Por fim, </w:t>
      </w:r>
      <w:r w:rsidR="00277000" w:rsidRPr="00E4500C">
        <w:rPr>
          <w:rFonts w:eastAsiaTheme="minorEastAsia"/>
          <w:sz w:val="24"/>
          <w:szCs w:val="24"/>
        </w:rPr>
        <w:t xml:space="preserve">fora </w:t>
      </w:r>
      <w:r w:rsidRPr="00E4500C">
        <w:rPr>
          <w:rFonts w:eastAsiaTheme="minorEastAsia"/>
          <w:sz w:val="24"/>
          <w:szCs w:val="24"/>
        </w:rPr>
        <w:t>aplica</w:t>
      </w:r>
      <w:r w:rsidR="00277000" w:rsidRPr="00E4500C">
        <w:rPr>
          <w:rFonts w:eastAsiaTheme="minorEastAsia"/>
          <w:sz w:val="24"/>
          <w:szCs w:val="24"/>
        </w:rPr>
        <w:t>do</w:t>
      </w:r>
      <w:r w:rsidRPr="00E4500C">
        <w:rPr>
          <w:rFonts w:eastAsiaTheme="minorEastAsia"/>
          <w:sz w:val="24"/>
          <w:szCs w:val="24"/>
        </w:rPr>
        <w:t xml:space="preserve"> ao valor total da soma o fator de redução anual (conforme explanação do item </w:t>
      </w:r>
      <w:r w:rsidR="00E4500C" w:rsidRPr="00E4500C">
        <w:rPr>
          <w:rFonts w:eastAsiaTheme="minorEastAsia"/>
          <w:sz w:val="24"/>
          <w:szCs w:val="24"/>
        </w:rPr>
        <w:t>1.12</w:t>
      </w:r>
      <w:r w:rsidRPr="00E4500C">
        <w:rPr>
          <w:rFonts w:eastAsiaTheme="minorEastAsia"/>
          <w:sz w:val="24"/>
          <w:szCs w:val="24"/>
        </w:rPr>
        <w:t xml:space="preserve"> dos Estudos Preliminares), </w:t>
      </w:r>
      <w:r w:rsidR="00277000" w:rsidRPr="00E4500C">
        <w:rPr>
          <w:rFonts w:eastAsiaTheme="minorEastAsia"/>
          <w:sz w:val="24"/>
          <w:szCs w:val="24"/>
        </w:rPr>
        <w:t xml:space="preserve">o </w:t>
      </w:r>
      <w:r w:rsidRPr="00E4500C">
        <w:rPr>
          <w:rFonts w:eastAsiaTheme="minorEastAsia"/>
          <w:sz w:val="24"/>
          <w:szCs w:val="24"/>
        </w:rPr>
        <w:t>qu</w:t>
      </w:r>
      <w:r w:rsidR="00277000" w:rsidRPr="00E4500C">
        <w:rPr>
          <w:rFonts w:eastAsiaTheme="minorEastAsia"/>
          <w:sz w:val="24"/>
          <w:szCs w:val="24"/>
        </w:rPr>
        <w:t>al</w:t>
      </w:r>
      <w:r w:rsidRPr="00E4500C">
        <w:rPr>
          <w:rFonts w:eastAsiaTheme="minorEastAsia"/>
          <w:sz w:val="24"/>
          <w:szCs w:val="24"/>
        </w:rPr>
        <w:t xml:space="preserve"> irá variar</w:t>
      </w:r>
      <w:r w:rsidR="00277000" w:rsidRPr="00E4500C">
        <w:rPr>
          <w:rFonts w:eastAsiaTheme="minorEastAsia"/>
          <w:sz w:val="24"/>
          <w:szCs w:val="24"/>
        </w:rPr>
        <w:t>,</w:t>
      </w:r>
      <w:r w:rsidRPr="00E4500C">
        <w:rPr>
          <w:rFonts w:eastAsiaTheme="minorEastAsia"/>
          <w:sz w:val="24"/>
          <w:szCs w:val="24"/>
        </w:rPr>
        <w:t xml:space="preserve"> conforme </w:t>
      </w:r>
      <w:r w:rsidR="00277000" w:rsidRPr="00E4500C">
        <w:rPr>
          <w:rFonts w:eastAsiaTheme="minorEastAsia"/>
          <w:sz w:val="24"/>
          <w:szCs w:val="24"/>
        </w:rPr>
        <w:t xml:space="preserve">o </w:t>
      </w:r>
      <w:r w:rsidRPr="00E4500C">
        <w:rPr>
          <w:rFonts w:eastAsiaTheme="minorEastAsia"/>
          <w:sz w:val="24"/>
          <w:szCs w:val="24"/>
        </w:rPr>
        <w:t>avanço temporal.</w:t>
      </w:r>
    </w:p>
    <w:p w14:paraId="05167B71" w14:textId="7F06C8D8" w:rsidR="007942AD" w:rsidRPr="00E4500C" w:rsidRDefault="007942AD" w:rsidP="005C2772">
      <w:pPr>
        <w:pStyle w:val="Primeirorecuodecorpodetexto"/>
        <w:spacing w:after="120"/>
        <w:ind w:firstLine="709"/>
        <w:rPr>
          <w:rFonts w:eastAsiaTheme="minorEastAsia"/>
          <w:sz w:val="24"/>
          <w:szCs w:val="24"/>
        </w:rPr>
      </w:pPr>
      <w:r w:rsidRPr="00E4500C">
        <w:rPr>
          <w:rFonts w:eastAsiaTheme="minorEastAsia"/>
          <w:sz w:val="24"/>
          <w:szCs w:val="24"/>
        </w:rPr>
        <w:t xml:space="preserve">Para o cálculo do </w:t>
      </w:r>
      <w:r w:rsidR="000F3BD1" w:rsidRPr="00E4500C">
        <w:rPr>
          <w:rFonts w:eastAsiaTheme="minorEastAsia"/>
          <w:sz w:val="24"/>
          <w:szCs w:val="24"/>
        </w:rPr>
        <w:t>i</w:t>
      </w:r>
      <w:r w:rsidRPr="00E4500C">
        <w:rPr>
          <w:rFonts w:eastAsiaTheme="minorEastAsia"/>
          <w:sz w:val="24"/>
          <w:szCs w:val="24"/>
        </w:rPr>
        <w:t>tem 4</w:t>
      </w:r>
      <w:r w:rsidR="000F3BD1" w:rsidRPr="00E4500C">
        <w:rPr>
          <w:rFonts w:eastAsiaTheme="minorEastAsia"/>
          <w:sz w:val="24"/>
          <w:szCs w:val="24"/>
        </w:rPr>
        <w:t>,</w:t>
      </w:r>
      <w:r w:rsidRPr="00E4500C">
        <w:rPr>
          <w:rFonts w:eastAsiaTheme="minorEastAsia"/>
          <w:sz w:val="24"/>
          <w:szCs w:val="24"/>
        </w:rPr>
        <w:t xml:space="preserve"> foram utilizados </w:t>
      </w:r>
      <w:r w:rsidR="00E4500C" w:rsidRPr="00E4500C">
        <w:rPr>
          <w:rFonts w:eastAsiaTheme="minorEastAsia"/>
          <w:sz w:val="24"/>
          <w:szCs w:val="24"/>
        </w:rPr>
        <w:t>um</w:t>
      </w:r>
      <w:r w:rsidRPr="00E4500C">
        <w:rPr>
          <w:rFonts w:eastAsiaTheme="minorEastAsia"/>
          <w:sz w:val="24"/>
          <w:szCs w:val="24"/>
        </w:rPr>
        <w:t xml:space="preserve"> preço público</w:t>
      </w:r>
      <w:r w:rsidR="00E4500C" w:rsidRPr="00E4500C">
        <w:rPr>
          <w:rFonts w:eastAsiaTheme="minorEastAsia"/>
          <w:sz w:val="24"/>
          <w:szCs w:val="24"/>
        </w:rPr>
        <w:t xml:space="preserve"> de contratação similar, além de orçamentos privados</w:t>
      </w:r>
      <w:r w:rsidRPr="00E4500C">
        <w:rPr>
          <w:rFonts w:eastAsiaTheme="minorEastAsia"/>
          <w:sz w:val="24"/>
          <w:szCs w:val="24"/>
        </w:rPr>
        <w:t>.</w:t>
      </w:r>
    </w:p>
    <w:p w14:paraId="667BC863" w14:textId="1B1F5F05"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Os valores referentes à aquisição dos equipamentos instalados e configurados (incluindo racks), estão descritos nos preços unitários dos itens 1, </w:t>
      </w:r>
      <w:r w:rsidR="007942AD">
        <w:rPr>
          <w:rFonts w:eastAsiaTheme="minorEastAsia"/>
          <w:sz w:val="24"/>
          <w:szCs w:val="24"/>
        </w:rPr>
        <w:t>2</w:t>
      </w:r>
      <w:r w:rsidRPr="4F2C0FBD">
        <w:rPr>
          <w:rFonts w:eastAsiaTheme="minorEastAsia"/>
          <w:sz w:val="24"/>
          <w:szCs w:val="24"/>
        </w:rPr>
        <w:t xml:space="preserve"> e </w:t>
      </w:r>
      <w:r w:rsidR="007942AD">
        <w:rPr>
          <w:rFonts w:eastAsiaTheme="minorEastAsia"/>
          <w:sz w:val="24"/>
          <w:szCs w:val="24"/>
        </w:rPr>
        <w:t>3</w:t>
      </w:r>
      <w:r w:rsidRPr="4F2C0FBD">
        <w:rPr>
          <w:rFonts w:eastAsiaTheme="minorEastAsia"/>
          <w:sz w:val="24"/>
          <w:szCs w:val="24"/>
        </w:rPr>
        <w:t>. A implantação destes equipamentos será particionada em três etapas:</w:t>
      </w:r>
    </w:p>
    <w:p w14:paraId="35C3703B" w14:textId="66752B64" w:rsidR="008472C0" w:rsidRPr="009B7685" w:rsidRDefault="4F2C0FBD" w:rsidP="4F2C0FBD">
      <w:pPr>
        <w:pStyle w:val="Primeirorecuodecorpodetexto"/>
        <w:numPr>
          <w:ilvl w:val="0"/>
          <w:numId w:val="18"/>
        </w:numPr>
        <w:spacing w:after="120"/>
        <w:rPr>
          <w:rFonts w:eastAsiaTheme="minorEastAsia"/>
          <w:sz w:val="24"/>
          <w:szCs w:val="24"/>
        </w:rPr>
      </w:pPr>
      <w:r w:rsidRPr="4F2C0FBD">
        <w:rPr>
          <w:rFonts w:eastAsiaTheme="minorEastAsia"/>
          <w:sz w:val="24"/>
          <w:szCs w:val="24"/>
        </w:rPr>
        <w:t>No primeiro momento, após assinatura do contrato, deverão ser instalados / configurados os equipamentos com 1 PB (Um Petabyte) em cada Datacenter (item 1)</w:t>
      </w:r>
      <w:r w:rsidR="000055F1">
        <w:rPr>
          <w:rFonts w:eastAsiaTheme="minorEastAsia"/>
          <w:sz w:val="24"/>
          <w:szCs w:val="24"/>
        </w:rPr>
        <w:t>, com suporte técnico e garantia por 36 (trinta e seis) meses</w:t>
      </w:r>
      <w:r w:rsidRPr="4F2C0FBD">
        <w:rPr>
          <w:rFonts w:eastAsiaTheme="minorEastAsia"/>
          <w:sz w:val="24"/>
          <w:szCs w:val="24"/>
        </w:rPr>
        <w:t>.</w:t>
      </w:r>
    </w:p>
    <w:p w14:paraId="79B0BC1E" w14:textId="0DF8C484" w:rsidR="00BA2D18" w:rsidRDefault="00BA2D18" w:rsidP="4F2C0FBD">
      <w:pPr>
        <w:pStyle w:val="Primeirorecuodecorpodetexto"/>
        <w:numPr>
          <w:ilvl w:val="0"/>
          <w:numId w:val="18"/>
        </w:numPr>
        <w:spacing w:after="120"/>
        <w:rPr>
          <w:rFonts w:eastAsiaTheme="minorEastAsia"/>
          <w:sz w:val="24"/>
          <w:szCs w:val="24"/>
        </w:rPr>
      </w:pPr>
      <w:r>
        <w:rPr>
          <w:rFonts w:eastAsiaTheme="minorEastAsia"/>
          <w:sz w:val="24"/>
          <w:szCs w:val="24"/>
        </w:rPr>
        <w:t xml:space="preserve">Doze meses após a implantação do item 1, deverá ser instalada a primeira expansão dos equipamentos (item 2), com capacidade de </w:t>
      </w:r>
      <w:r>
        <w:rPr>
          <w:rFonts w:eastAsiaTheme="minorEastAsia"/>
          <w:sz w:val="24"/>
          <w:szCs w:val="24"/>
        </w:rPr>
        <w:lastRenderedPageBreak/>
        <w:t>armazenamento de 512 TB (quinhentos e doze Terabytes) em cada site, com suporte técnico e garantia por 24 (vinte e quatro) meses;</w:t>
      </w:r>
    </w:p>
    <w:p w14:paraId="36EBC531" w14:textId="184838F7" w:rsidR="00BA2D18" w:rsidRDefault="00BA2D18" w:rsidP="4F2C0FBD">
      <w:pPr>
        <w:pStyle w:val="Primeirorecuodecorpodetexto"/>
        <w:numPr>
          <w:ilvl w:val="0"/>
          <w:numId w:val="18"/>
        </w:numPr>
        <w:spacing w:after="120"/>
        <w:rPr>
          <w:rFonts w:eastAsiaTheme="minorEastAsia"/>
          <w:sz w:val="24"/>
          <w:szCs w:val="24"/>
        </w:rPr>
      </w:pPr>
      <w:r>
        <w:rPr>
          <w:rFonts w:eastAsiaTheme="minorEastAsia"/>
          <w:sz w:val="24"/>
          <w:szCs w:val="24"/>
        </w:rPr>
        <w:t xml:space="preserve">Por fim, vinte e quatro meses após a implantação inicial da solução (item 1), deverá ser feita a instalação da </w:t>
      </w:r>
      <w:r w:rsidR="00F37E9C">
        <w:rPr>
          <w:rFonts w:eastAsiaTheme="minorEastAsia"/>
          <w:sz w:val="24"/>
          <w:szCs w:val="24"/>
        </w:rPr>
        <w:t>segunda fase de expansão (item 3</w:t>
      </w:r>
      <w:r>
        <w:rPr>
          <w:rFonts w:eastAsiaTheme="minorEastAsia"/>
          <w:sz w:val="24"/>
          <w:szCs w:val="24"/>
        </w:rPr>
        <w:t>), com os últimos 512 TB (quinhentos e doze Terabytes) em cada site, com suporte técnico e garantia de 12 (doze) meses.</w:t>
      </w:r>
    </w:p>
    <w:p w14:paraId="25B0ADB8" w14:textId="399F09AF" w:rsidR="008472C0" w:rsidRPr="009B7685" w:rsidRDefault="4F2C0FBD" w:rsidP="000055F1">
      <w:pPr>
        <w:pStyle w:val="Primeirorecuodecorpodetexto"/>
        <w:spacing w:after="120"/>
        <w:ind w:firstLine="709"/>
        <w:rPr>
          <w:rFonts w:eastAsiaTheme="minorEastAsia"/>
          <w:sz w:val="24"/>
          <w:szCs w:val="24"/>
        </w:rPr>
      </w:pPr>
      <w:r w:rsidRPr="4F2C0FBD">
        <w:rPr>
          <w:rFonts w:eastAsiaTheme="minorEastAsia"/>
          <w:sz w:val="24"/>
          <w:szCs w:val="24"/>
        </w:rPr>
        <w:t>Os pagamentos dos itens 1</w:t>
      </w:r>
      <w:r w:rsidR="000055F1">
        <w:rPr>
          <w:rFonts w:eastAsiaTheme="minorEastAsia"/>
          <w:sz w:val="24"/>
          <w:szCs w:val="24"/>
        </w:rPr>
        <w:t>, 2 e 3</w:t>
      </w:r>
      <w:r w:rsidRPr="4F2C0FBD">
        <w:rPr>
          <w:rFonts w:eastAsiaTheme="minorEastAsia"/>
          <w:sz w:val="24"/>
          <w:szCs w:val="24"/>
        </w:rPr>
        <w:t xml:space="preserve"> serão realizados após o aceite definitivo de cada implantação.</w:t>
      </w:r>
    </w:p>
    <w:p w14:paraId="0EE56F13" w14:textId="77777777" w:rsidR="008472C0" w:rsidRPr="00E4500C"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A capacitação será efetuada para 04 (quatro) servidores e o pagamento ocorrerá após a sua </w:t>
      </w:r>
      <w:r w:rsidRPr="00E4500C">
        <w:rPr>
          <w:rFonts w:eastAsiaTheme="minorEastAsia"/>
          <w:sz w:val="24"/>
          <w:szCs w:val="24"/>
        </w:rPr>
        <w:t>conclusão, que se dará depois da instalação dos equipamentos da fase 1.</w:t>
      </w:r>
    </w:p>
    <w:p w14:paraId="12E2E740" w14:textId="50ACBE05" w:rsidR="008472C0" w:rsidRPr="009B7685" w:rsidRDefault="4F2C0FBD" w:rsidP="4F2C0FBD">
      <w:pPr>
        <w:pStyle w:val="Primeirorecuodecorpodetexto"/>
        <w:spacing w:after="120"/>
        <w:ind w:firstLine="709"/>
        <w:rPr>
          <w:rFonts w:eastAsiaTheme="minorEastAsia"/>
          <w:sz w:val="24"/>
          <w:szCs w:val="24"/>
        </w:rPr>
      </w:pPr>
      <w:r w:rsidRPr="00E4500C">
        <w:rPr>
          <w:rFonts w:eastAsiaTheme="minorEastAsia"/>
          <w:sz w:val="24"/>
          <w:szCs w:val="24"/>
        </w:rPr>
        <w:t xml:space="preserve">Os serviços de </w:t>
      </w:r>
      <w:r w:rsidRPr="00E4500C">
        <w:rPr>
          <w:rFonts w:eastAsiaTheme="minorEastAsia"/>
          <w:i/>
          <w:iCs/>
          <w:sz w:val="24"/>
          <w:szCs w:val="24"/>
        </w:rPr>
        <w:t>Moving</w:t>
      </w:r>
      <w:r w:rsidRPr="00E4500C">
        <w:rPr>
          <w:rFonts w:eastAsiaTheme="minorEastAsia"/>
          <w:sz w:val="24"/>
          <w:szCs w:val="24"/>
        </w:rPr>
        <w:t xml:space="preserve"> dos Storages VSP e AMS 1000 serão realizados </w:t>
      </w:r>
      <w:r w:rsidR="00F37E9C" w:rsidRPr="00E4500C">
        <w:rPr>
          <w:rFonts w:eastAsiaTheme="minorEastAsia"/>
          <w:sz w:val="24"/>
          <w:szCs w:val="24"/>
        </w:rPr>
        <w:t>como parte do processo de</w:t>
      </w:r>
      <w:r w:rsidRPr="00E4500C">
        <w:rPr>
          <w:rFonts w:eastAsiaTheme="minorEastAsia"/>
          <w:sz w:val="24"/>
          <w:szCs w:val="24"/>
        </w:rPr>
        <w:t xml:space="preserve"> instalação dos equipamentos adquiridos</w:t>
      </w:r>
      <w:r w:rsidR="00F37E9C" w:rsidRPr="00E4500C">
        <w:rPr>
          <w:rFonts w:eastAsiaTheme="minorEastAsia"/>
          <w:sz w:val="24"/>
          <w:szCs w:val="24"/>
        </w:rPr>
        <w:t xml:space="preserve"> (</w:t>
      </w:r>
      <w:r w:rsidRPr="00E4500C">
        <w:rPr>
          <w:rFonts w:eastAsiaTheme="minorEastAsia"/>
          <w:sz w:val="24"/>
          <w:szCs w:val="24"/>
        </w:rPr>
        <w:t>item 1</w:t>
      </w:r>
      <w:r w:rsidR="00F37E9C" w:rsidRPr="00E4500C">
        <w:rPr>
          <w:rFonts w:eastAsiaTheme="minorEastAsia"/>
          <w:sz w:val="24"/>
          <w:szCs w:val="24"/>
        </w:rPr>
        <w:t>)</w:t>
      </w:r>
      <w:r w:rsidRPr="00E4500C">
        <w:rPr>
          <w:rFonts w:eastAsiaTheme="minorEastAsia"/>
          <w:sz w:val="24"/>
          <w:szCs w:val="24"/>
        </w:rPr>
        <w:t>.</w:t>
      </w:r>
      <w:r w:rsidR="00F843AF">
        <w:rPr>
          <w:rFonts w:eastAsiaTheme="minorEastAsia"/>
          <w:sz w:val="24"/>
          <w:szCs w:val="24"/>
        </w:rPr>
        <w:t xml:space="preserve"> </w:t>
      </w:r>
    </w:p>
    <w:tbl>
      <w:tblPr>
        <w:tblW w:w="8647" w:type="dxa"/>
        <w:tblCellMar>
          <w:left w:w="70" w:type="dxa"/>
          <w:right w:w="70" w:type="dxa"/>
        </w:tblCellMar>
        <w:tblLook w:val="04A0" w:firstRow="1" w:lastRow="0" w:firstColumn="1" w:lastColumn="0" w:noHBand="0" w:noVBand="1"/>
      </w:tblPr>
      <w:tblGrid>
        <w:gridCol w:w="874"/>
        <w:gridCol w:w="580"/>
        <w:gridCol w:w="2651"/>
        <w:gridCol w:w="1024"/>
        <w:gridCol w:w="777"/>
        <w:gridCol w:w="1324"/>
        <w:gridCol w:w="1417"/>
      </w:tblGrid>
      <w:tr w:rsidR="004E5739" w:rsidRPr="002C23F1" w14:paraId="415E65F7" w14:textId="77777777" w:rsidTr="00500085">
        <w:trPr>
          <w:trHeight w:val="300"/>
        </w:trPr>
        <w:tc>
          <w:tcPr>
            <w:tcW w:w="874" w:type="dxa"/>
            <w:tcBorders>
              <w:top w:val="single" w:sz="4" w:space="0" w:color="auto"/>
              <w:bottom w:val="single" w:sz="4" w:space="0" w:color="000000"/>
              <w:right w:val="single" w:sz="4" w:space="0" w:color="auto"/>
            </w:tcBorders>
            <w:shd w:val="clear" w:color="000000" w:fill="9BC2E6"/>
            <w:noWrap/>
            <w:vAlign w:val="bottom"/>
            <w:hideMark/>
          </w:tcPr>
          <w:p w14:paraId="3435E16A"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Lote</w:t>
            </w:r>
          </w:p>
        </w:tc>
        <w:tc>
          <w:tcPr>
            <w:tcW w:w="580" w:type="dxa"/>
            <w:tcBorders>
              <w:top w:val="single" w:sz="4" w:space="0" w:color="auto"/>
              <w:left w:val="nil"/>
              <w:bottom w:val="single" w:sz="4" w:space="0" w:color="auto"/>
              <w:right w:val="single" w:sz="4" w:space="0" w:color="auto"/>
            </w:tcBorders>
            <w:shd w:val="clear" w:color="000000" w:fill="9BC2E6"/>
            <w:noWrap/>
            <w:vAlign w:val="bottom"/>
            <w:hideMark/>
          </w:tcPr>
          <w:p w14:paraId="12157861"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Item</w:t>
            </w:r>
          </w:p>
        </w:tc>
        <w:tc>
          <w:tcPr>
            <w:tcW w:w="2651" w:type="dxa"/>
            <w:tcBorders>
              <w:top w:val="single" w:sz="4" w:space="0" w:color="auto"/>
              <w:left w:val="nil"/>
              <w:bottom w:val="single" w:sz="4" w:space="0" w:color="auto"/>
              <w:right w:val="single" w:sz="4" w:space="0" w:color="auto"/>
            </w:tcBorders>
            <w:shd w:val="clear" w:color="000000" w:fill="9BC2E6"/>
            <w:noWrap/>
            <w:vAlign w:val="bottom"/>
            <w:hideMark/>
          </w:tcPr>
          <w:p w14:paraId="5CB7CA2F"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Descrição</w:t>
            </w:r>
          </w:p>
        </w:tc>
        <w:tc>
          <w:tcPr>
            <w:tcW w:w="1024" w:type="dxa"/>
            <w:tcBorders>
              <w:top w:val="single" w:sz="4" w:space="0" w:color="auto"/>
              <w:left w:val="nil"/>
              <w:bottom w:val="single" w:sz="4" w:space="0" w:color="auto"/>
              <w:right w:val="single" w:sz="4" w:space="0" w:color="auto"/>
            </w:tcBorders>
            <w:shd w:val="clear" w:color="000000" w:fill="9BC2E6"/>
            <w:noWrap/>
            <w:vAlign w:val="bottom"/>
            <w:hideMark/>
          </w:tcPr>
          <w:p w14:paraId="11D46453"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Tipo</w:t>
            </w:r>
          </w:p>
        </w:tc>
        <w:tc>
          <w:tcPr>
            <w:tcW w:w="777" w:type="dxa"/>
            <w:tcBorders>
              <w:top w:val="single" w:sz="4" w:space="0" w:color="auto"/>
              <w:left w:val="nil"/>
              <w:bottom w:val="single" w:sz="4" w:space="0" w:color="auto"/>
              <w:right w:val="single" w:sz="4" w:space="0" w:color="auto"/>
            </w:tcBorders>
            <w:shd w:val="clear" w:color="000000" w:fill="9BC2E6"/>
            <w:vAlign w:val="bottom"/>
          </w:tcPr>
          <w:p w14:paraId="1C198DE2"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Qtde</w:t>
            </w:r>
          </w:p>
        </w:tc>
        <w:tc>
          <w:tcPr>
            <w:tcW w:w="1324" w:type="dxa"/>
            <w:tcBorders>
              <w:top w:val="single" w:sz="4" w:space="0" w:color="auto"/>
              <w:left w:val="single" w:sz="4" w:space="0" w:color="auto"/>
              <w:bottom w:val="single" w:sz="4" w:space="0" w:color="auto"/>
              <w:right w:val="single" w:sz="4" w:space="0" w:color="auto"/>
            </w:tcBorders>
            <w:shd w:val="clear" w:color="000000" w:fill="9BC2E6"/>
          </w:tcPr>
          <w:p w14:paraId="1B64E6C1"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Valor Unitário</w:t>
            </w:r>
          </w:p>
        </w:tc>
        <w:tc>
          <w:tcPr>
            <w:tcW w:w="1417" w:type="dxa"/>
            <w:tcBorders>
              <w:top w:val="single" w:sz="4" w:space="0" w:color="auto"/>
              <w:left w:val="single" w:sz="4" w:space="0" w:color="auto"/>
              <w:bottom w:val="single" w:sz="4" w:space="0" w:color="auto"/>
            </w:tcBorders>
            <w:shd w:val="clear" w:color="000000" w:fill="9BC2E6"/>
            <w:noWrap/>
            <w:vAlign w:val="bottom"/>
          </w:tcPr>
          <w:p w14:paraId="08F530D1"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Valor Total</w:t>
            </w:r>
          </w:p>
        </w:tc>
      </w:tr>
      <w:tr w:rsidR="004E5739" w:rsidRPr="002C23F1" w14:paraId="6C9277B8" w14:textId="77777777" w:rsidTr="00500085">
        <w:trPr>
          <w:trHeight w:val="1110"/>
        </w:trPr>
        <w:tc>
          <w:tcPr>
            <w:tcW w:w="874" w:type="dxa"/>
            <w:vMerge w:val="restart"/>
            <w:tcBorders>
              <w:top w:val="single" w:sz="4" w:space="0" w:color="auto"/>
              <w:bottom w:val="single" w:sz="4" w:space="0" w:color="000000"/>
              <w:right w:val="single" w:sz="4" w:space="0" w:color="auto"/>
            </w:tcBorders>
            <w:shd w:val="clear" w:color="auto" w:fill="auto"/>
            <w:vAlign w:val="center"/>
            <w:hideMark/>
          </w:tcPr>
          <w:p w14:paraId="5D7A9CBB"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 xml:space="preserve">LOTE ÚNICO </w:t>
            </w:r>
          </w:p>
        </w:tc>
        <w:tc>
          <w:tcPr>
            <w:tcW w:w="580" w:type="dxa"/>
            <w:tcBorders>
              <w:top w:val="nil"/>
              <w:left w:val="nil"/>
              <w:bottom w:val="single" w:sz="4" w:space="0" w:color="auto"/>
              <w:right w:val="single" w:sz="4" w:space="0" w:color="auto"/>
            </w:tcBorders>
            <w:shd w:val="clear" w:color="auto" w:fill="auto"/>
            <w:vAlign w:val="center"/>
            <w:hideMark/>
          </w:tcPr>
          <w:p w14:paraId="43DB9045"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1</w:t>
            </w:r>
          </w:p>
        </w:tc>
        <w:tc>
          <w:tcPr>
            <w:tcW w:w="2651" w:type="dxa"/>
            <w:tcBorders>
              <w:top w:val="nil"/>
              <w:left w:val="nil"/>
              <w:bottom w:val="single" w:sz="4" w:space="0" w:color="auto"/>
              <w:right w:val="single" w:sz="4" w:space="0" w:color="auto"/>
            </w:tcBorders>
            <w:shd w:val="clear" w:color="auto" w:fill="auto"/>
            <w:vAlign w:val="center"/>
            <w:hideMark/>
          </w:tcPr>
          <w:p w14:paraId="593A74D7" w14:textId="77777777" w:rsidR="004E5739" w:rsidRPr="002C23F1" w:rsidRDefault="004E5739" w:rsidP="00BA2D18">
            <w:pPr>
              <w:spacing w:line="240" w:lineRule="auto"/>
              <w:rPr>
                <w:rFonts w:ascii="Times New Roman" w:eastAsia="Times New Roman" w:hAnsi="Times New Roman" w:cs="Times New Roman"/>
              </w:rPr>
            </w:pPr>
            <w:r w:rsidRPr="002C23F1">
              <w:rPr>
                <w:rFonts w:ascii="Times New Roman" w:hAnsi="Times New Roman" w:cs="Times New Roman"/>
                <w:sz w:val="24"/>
                <w:szCs w:val="24"/>
              </w:rPr>
              <w:t>Solução de armazenamento de dados modular, escalável, instalada e configurada, conforme detalhamento técnico.</w:t>
            </w:r>
          </w:p>
        </w:tc>
        <w:tc>
          <w:tcPr>
            <w:tcW w:w="1024" w:type="dxa"/>
            <w:tcBorders>
              <w:top w:val="nil"/>
              <w:left w:val="nil"/>
              <w:bottom w:val="single" w:sz="4" w:space="0" w:color="auto"/>
              <w:right w:val="single" w:sz="4" w:space="0" w:color="auto"/>
            </w:tcBorders>
            <w:shd w:val="clear" w:color="auto" w:fill="auto"/>
            <w:noWrap/>
            <w:vAlign w:val="center"/>
            <w:hideMark/>
          </w:tcPr>
          <w:p w14:paraId="32A14AC7"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Hardware</w:t>
            </w:r>
            <w:r>
              <w:rPr>
                <w:rFonts w:ascii="Times New Roman" w:eastAsia="Times New Roman" w:hAnsi="Times New Roman" w:cs="Times New Roman"/>
              </w:rPr>
              <w:t xml:space="preserve"> / Serviço</w:t>
            </w:r>
          </w:p>
        </w:tc>
        <w:tc>
          <w:tcPr>
            <w:tcW w:w="777" w:type="dxa"/>
            <w:tcBorders>
              <w:top w:val="single" w:sz="4" w:space="0" w:color="auto"/>
              <w:left w:val="nil"/>
              <w:bottom w:val="single" w:sz="4" w:space="0" w:color="auto"/>
              <w:right w:val="single" w:sz="4" w:space="0" w:color="auto"/>
            </w:tcBorders>
            <w:vAlign w:val="center"/>
          </w:tcPr>
          <w:p w14:paraId="70BE72A1"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2</w:t>
            </w:r>
          </w:p>
        </w:tc>
        <w:tc>
          <w:tcPr>
            <w:tcW w:w="1324" w:type="dxa"/>
            <w:tcBorders>
              <w:top w:val="single" w:sz="4" w:space="0" w:color="auto"/>
              <w:left w:val="single" w:sz="4" w:space="0" w:color="auto"/>
              <w:bottom w:val="single" w:sz="4" w:space="0" w:color="auto"/>
              <w:right w:val="single" w:sz="4" w:space="0" w:color="auto"/>
            </w:tcBorders>
          </w:tcPr>
          <w:p w14:paraId="55408F7C" w14:textId="77777777" w:rsidR="004E5739" w:rsidRPr="002C23F1" w:rsidRDefault="004E5739" w:rsidP="00BA2D18">
            <w:pPr>
              <w:spacing w:line="240" w:lineRule="auto"/>
              <w:jc w:val="center"/>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auto"/>
            <w:noWrap/>
            <w:vAlign w:val="center"/>
          </w:tcPr>
          <w:p w14:paraId="28CD71C6" w14:textId="77777777" w:rsidR="004E5739" w:rsidRPr="002C23F1" w:rsidRDefault="004E5739" w:rsidP="00BA2D18">
            <w:pPr>
              <w:spacing w:line="240" w:lineRule="auto"/>
              <w:jc w:val="center"/>
              <w:rPr>
                <w:rFonts w:ascii="Times New Roman" w:eastAsia="Times New Roman" w:hAnsi="Times New Roman" w:cs="Times New Roman"/>
              </w:rPr>
            </w:pPr>
          </w:p>
        </w:tc>
      </w:tr>
      <w:tr w:rsidR="004E5739" w:rsidRPr="002C23F1" w14:paraId="63A0FD75" w14:textId="77777777" w:rsidTr="00500085">
        <w:trPr>
          <w:trHeight w:val="543"/>
        </w:trPr>
        <w:tc>
          <w:tcPr>
            <w:tcW w:w="874" w:type="dxa"/>
            <w:vMerge/>
            <w:tcBorders>
              <w:top w:val="single" w:sz="4" w:space="0" w:color="auto"/>
              <w:bottom w:val="single" w:sz="4" w:space="0" w:color="000000"/>
              <w:right w:val="single" w:sz="4" w:space="0" w:color="auto"/>
            </w:tcBorders>
            <w:vAlign w:val="center"/>
          </w:tcPr>
          <w:p w14:paraId="4A07AFED" w14:textId="77777777" w:rsidR="004E5739" w:rsidRPr="002C23F1" w:rsidRDefault="004E5739" w:rsidP="00BA2D18">
            <w:pPr>
              <w:spacing w:line="240" w:lineRule="auto"/>
              <w:rPr>
                <w:rFonts w:ascii="Times New Roman" w:eastAsia="Times New Roman" w:hAnsi="Times New Roman" w:cs="Times New Roman"/>
                <w:b/>
                <w:bCs/>
              </w:rPr>
            </w:pPr>
          </w:p>
        </w:tc>
        <w:tc>
          <w:tcPr>
            <w:tcW w:w="580" w:type="dxa"/>
            <w:tcBorders>
              <w:top w:val="nil"/>
              <w:left w:val="nil"/>
              <w:bottom w:val="single" w:sz="4" w:space="0" w:color="auto"/>
              <w:right w:val="single" w:sz="4" w:space="0" w:color="auto"/>
            </w:tcBorders>
            <w:shd w:val="clear" w:color="auto" w:fill="auto"/>
            <w:vAlign w:val="center"/>
          </w:tcPr>
          <w:p w14:paraId="23F4E819"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2</w:t>
            </w:r>
          </w:p>
        </w:tc>
        <w:tc>
          <w:tcPr>
            <w:tcW w:w="2651" w:type="dxa"/>
            <w:tcBorders>
              <w:top w:val="nil"/>
              <w:left w:val="nil"/>
              <w:bottom w:val="single" w:sz="4" w:space="0" w:color="auto"/>
              <w:right w:val="single" w:sz="4" w:space="0" w:color="auto"/>
            </w:tcBorders>
            <w:shd w:val="clear" w:color="auto" w:fill="auto"/>
            <w:vAlign w:val="center"/>
          </w:tcPr>
          <w:p w14:paraId="0578C820" w14:textId="77777777" w:rsidR="004E5739" w:rsidRPr="002C23F1" w:rsidRDefault="004E5739" w:rsidP="00BA2D18">
            <w:pPr>
              <w:spacing w:line="240" w:lineRule="auto"/>
              <w:rPr>
                <w:rFonts w:ascii="Times New Roman" w:hAnsi="Times New Roman" w:cs="Times New Roman"/>
                <w:sz w:val="24"/>
                <w:szCs w:val="24"/>
              </w:rPr>
            </w:pPr>
            <w:r w:rsidRPr="002C23F1">
              <w:rPr>
                <w:rFonts w:ascii="Times New Roman" w:hAnsi="Times New Roman" w:cs="Times New Roman"/>
                <w:sz w:val="24"/>
                <w:szCs w:val="24"/>
              </w:rPr>
              <w:t>Expansão de capacidade de armazenamento, conforme detalhamento técnico.</w:t>
            </w:r>
          </w:p>
        </w:tc>
        <w:tc>
          <w:tcPr>
            <w:tcW w:w="1024" w:type="dxa"/>
            <w:tcBorders>
              <w:top w:val="nil"/>
              <w:left w:val="nil"/>
              <w:bottom w:val="single" w:sz="4" w:space="0" w:color="auto"/>
              <w:right w:val="single" w:sz="4" w:space="0" w:color="auto"/>
            </w:tcBorders>
            <w:shd w:val="clear" w:color="auto" w:fill="auto"/>
            <w:noWrap/>
            <w:vAlign w:val="center"/>
          </w:tcPr>
          <w:p w14:paraId="05A21A38"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Hardware</w:t>
            </w:r>
            <w:r>
              <w:rPr>
                <w:rFonts w:ascii="Times New Roman" w:eastAsia="Times New Roman" w:hAnsi="Times New Roman" w:cs="Times New Roman"/>
              </w:rPr>
              <w:t xml:space="preserve"> / Serviço</w:t>
            </w:r>
          </w:p>
        </w:tc>
        <w:tc>
          <w:tcPr>
            <w:tcW w:w="777" w:type="dxa"/>
            <w:tcBorders>
              <w:top w:val="single" w:sz="4" w:space="0" w:color="auto"/>
              <w:left w:val="nil"/>
              <w:bottom w:val="single" w:sz="4" w:space="0" w:color="auto"/>
              <w:right w:val="single" w:sz="4" w:space="0" w:color="auto"/>
            </w:tcBorders>
            <w:vAlign w:val="center"/>
          </w:tcPr>
          <w:p w14:paraId="36D4785D"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2</w:t>
            </w:r>
          </w:p>
        </w:tc>
        <w:tc>
          <w:tcPr>
            <w:tcW w:w="1324" w:type="dxa"/>
            <w:tcBorders>
              <w:top w:val="single" w:sz="4" w:space="0" w:color="auto"/>
              <w:left w:val="single" w:sz="4" w:space="0" w:color="auto"/>
              <w:bottom w:val="single" w:sz="4" w:space="0" w:color="auto"/>
              <w:right w:val="single" w:sz="4" w:space="0" w:color="auto"/>
            </w:tcBorders>
          </w:tcPr>
          <w:p w14:paraId="101A4D19" w14:textId="77777777" w:rsidR="004E5739" w:rsidRPr="002C23F1" w:rsidRDefault="004E5739" w:rsidP="00BA2D18">
            <w:pPr>
              <w:spacing w:line="240" w:lineRule="auto"/>
              <w:jc w:val="center"/>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auto"/>
            <w:noWrap/>
            <w:vAlign w:val="center"/>
          </w:tcPr>
          <w:p w14:paraId="5C0C6C3B" w14:textId="77777777" w:rsidR="004E5739" w:rsidRPr="002C23F1" w:rsidRDefault="004E5739" w:rsidP="00BA2D18">
            <w:pPr>
              <w:spacing w:line="240" w:lineRule="auto"/>
              <w:jc w:val="center"/>
              <w:rPr>
                <w:rFonts w:ascii="Times New Roman" w:eastAsia="Times New Roman" w:hAnsi="Times New Roman" w:cs="Times New Roman"/>
              </w:rPr>
            </w:pPr>
          </w:p>
        </w:tc>
      </w:tr>
      <w:tr w:rsidR="004E5739" w:rsidRPr="002C23F1" w14:paraId="642AF1C7" w14:textId="77777777" w:rsidTr="00500085">
        <w:trPr>
          <w:trHeight w:val="543"/>
        </w:trPr>
        <w:tc>
          <w:tcPr>
            <w:tcW w:w="874" w:type="dxa"/>
            <w:vMerge/>
            <w:tcBorders>
              <w:top w:val="single" w:sz="4" w:space="0" w:color="auto"/>
              <w:bottom w:val="single" w:sz="4" w:space="0" w:color="000000"/>
              <w:right w:val="single" w:sz="4" w:space="0" w:color="auto"/>
            </w:tcBorders>
            <w:vAlign w:val="center"/>
            <w:hideMark/>
          </w:tcPr>
          <w:p w14:paraId="32284C2B" w14:textId="77777777" w:rsidR="004E5739" w:rsidRPr="002C23F1" w:rsidRDefault="004E5739" w:rsidP="00BA2D18">
            <w:pPr>
              <w:spacing w:line="240" w:lineRule="auto"/>
              <w:rPr>
                <w:rFonts w:ascii="Times New Roman" w:eastAsia="Times New Roman" w:hAnsi="Times New Roman" w:cs="Times New Roman"/>
                <w:b/>
                <w:bCs/>
              </w:rPr>
            </w:pPr>
          </w:p>
        </w:tc>
        <w:tc>
          <w:tcPr>
            <w:tcW w:w="580" w:type="dxa"/>
            <w:tcBorders>
              <w:top w:val="nil"/>
              <w:left w:val="nil"/>
              <w:bottom w:val="single" w:sz="4" w:space="0" w:color="auto"/>
              <w:right w:val="single" w:sz="4" w:space="0" w:color="auto"/>
            </w:tcBorders>
            <w:shd w:val="clear" w:color="auto" w:fill="auto"/>
            <w:vAlign w:val="center"/>
            <w:hideMark/>
          </w:tcPr>
          <w:p w14:paraId="4EFEDF38"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3</w:t>
            </w:r>
          </w:p>
        </w:tc>
        <w:tc>
          <w:tcPr>
            <w:tcW w:w="2651" w:type="dxa"/>
            <w:tcBorders>
              <w:top w:val="nil"/>
              <w:left w:val="nil"/>
              <w:bottom w:val="single" w:sz="4" w:space="0" w:color="auto"/>
              <w:right w:val="single" w:sz="4" w:space="0" w:color="auto"/>
            </w:tcBorders>
            <w:shd w:val="clear" w:color="auto" w:fill="auto"/>
            <w:vAlign w:val="center"/>
            <w:hideMark/>
          </w:tcPr>
          <w:p w14:paraId="22C639C4" w14:textId="77777777" w:rsidR="004E5739" w:rsidRPr="002C23F1" w:rsidRDefault="004E5739" w:rsidP="00BA2D18">
            <w:pPr>
              <w:spacing w:line="240" w:lineRule="auto"/>
              <w:rPr>
                <w:rFonts w:ascii="Times New Roman" w:eastAsia="Times New Roman" w:hAnsi="Times New Roman" w:cs="Times New Roman"/>
              </w:rPr>
            </w:pPr>
            <w:r w:rsidRPr="002C23F1">
              <w:rPr>
                <w:rFonts w:ascii="Times New Roman" w:hAnsi="Times New Roman" w:cs="Times New Roman"/>
                <w:sz w:val="24"/>
                <w:szCs w:val="24"/>
              </w:rPr>
              <w:t>Expansão de capacidade de armazenamento, conforme detalhamento técnico.</w:t>
            </w:r>
          </w:p>
        </w:tc>
        <w:tc>
          <w:tcPr>
            <w:tcW w:w="1024" w:type="dxa"/>
            <w:tcBorders>
              <w:top w:val="nil"/>
              <w:left w:val="nil"/>
              <w:bottom w:val="single" w:sz="4" w:space="0" w:color="auto"/>
              <w:right w:val="single" w:sz="4" w:space="0" w:color="auto"/>
            </w:tcBorders>
            <w:shd w:val="clear" w:color="auto" w:fill="auto"/>
            <w:noWrap/>
            <w:vAlign w:val="center"/>
            <w:hideMark/>
          </w:tcPr>
          <w:p w14:paraId="29A2E68D"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Hardware</w:t>
            </w:r>
            <w:r>
              <w:rPr>
                <w:rFonts w:ascii="Times New Roman" w:eastAsia="Times New Roman" w:hAnsi="Times New Roman" w:cs="Times New Roman"/>
              </w:rPr>
              <w:t xml:space="preserve"> / Serviço</w:t>
            </w:r>
          </w:p>
        </w:tc>
        <w:tc>
          <w:tcPr>
            <w:tcW w:w="777" w:type="dxa"/>
            <w:tcBorders>
              <w:top w:val="single" w:sz="4" w:space="0" w:color="auto"/>
              <w:left w:val="nil"/>
              <w:bottom w:val="single" w:sz="4" w:space="0" w:color="auto"/>
              <w:right w:val="single" w:sz="4" w:space="0" w:color="auto"/>
            </w:tcBorders>
            <w:vAlign w:val="center"/>
          </w:tcPr>
          <w:p w14:paraId="69737A99"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2</w:t>
            </w:r>
          </w:p>
        </w:tc>
        <w:tc>
          <w:tcPr>
            <w:tcW w:w="1324" w:type="dxa"/>
            <w:tcBorders>
              <w:top w:val="single" w:sz="4" w:space="0" w:color="auto"/>
              <w:left w:val="single" w:sz="4" w:space="0" w:color="auto"/>
              <w:bottom w:val="single" w:sz="4" w:space="0" w:color="auto"/>
              <w:right w:val="single" w:sz="4" w:space="0" w:color="auto"/>
            </w:tcBorders>
          </w:tcPr>
          <w:p w14:paraId="0E333573" w14:textId="77777777" w:rsidR="004E5739" w:rsidRPr="002C23F1" w:rsidRDefault="004E5739" w:rsidP="00BA2D18">
            <w:pPr>
              <w:spacing w:line="240" w:lineRule="auto"/>
              <w:jc w:val="center"/>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auto"/>
            <w:noWrap/>
            <w:vAlign w:val="center"/>
          </w:tcPr>
          <w:p w14:paraId="5D962589" w14:textId="77777777" w:rsidR="004E5739" w:rsidRPr="002C23F1" w:rsidRDefault="004E5739" w:rsidP="00BA2D18">
            <w:pPr>
              <w:spacing w:line="240" w:lineRule="auto"/>
              <w:jc w:val="center"/>
              <w:rPr>
                <w:rFonts w:ascii="Times New Roman" w:eastAsia="Times New Roman" w:hAnsi="Times New Roman" w:cs="Times New Roman"/>
              </w:rPr>
            </w:pPr>
          </w:p>
        </w:tc>
      </w:tr>
      <w:tr w:rsidR="004E5739" w:rsidRPr="002C23F1" w14:paraId="004F40F1" w14:textId="77777777" w:rsidTr="00500085">
        <w:trPr>
          <w:trHeight w:val="543"/>
        </w:trPr>
        <w:tc>
          <w:tcPr>
            <w:tcW w:w="874" w:type="dxa"/>
            <w:vMerge/>
            <w:tcBorders>
              <w:top w:val="single" w:sz="4" w:space="0" w:color="auto"/>
              <w:bottom w:val="single" w:sz="4" w:space="0" w:color="000000"/>
              <w:right w:val="single" w:sz="4" w:space="0" w:color="auto"/>
            </w:tcBorders>
            <w:vAlign w:val="center"/>
          </w:tcPr>
          <w:p w14:paraId="5E8A468B" w14:textId="77777777" w:rsidR="004E5739" w:rsidRPr="002C23F1" w:rsidRDefault="004E5739" w:rsidP="00BA2D18">
            <w:pPr>
              <w:spacing w:line="240" w:lineRule="auto"/>
              <w:rPr>
                <w:rFonts w:ascii="Times New Roman" w:eastAsia="Times New Roman" w:hAnsi="Times New Roman" w:cs="Times New Roman"/>
                <w:b/>
                <w:bCs/>
              </w:rPr>
            </w:pPr>
          </w:p>
        </w:tc>
        <w:tc>
          <w:tcPr>
            <w:tcW w:w="580" w:type="dxa"/>
            <w:tcBorders>
              <w:top w:val="nil"/>
              <w:left w:val="nil"/>
              <w:bottom w:val="single" w:sz="4" w:space="0" w:color="auto"/>
              <w:right w:val="single" w:sz="4" w:space="0" w:color="auto"/>
            </w:tcBorders>
            <w:shd w:val="clear" w:color="auto" w:fill="auto"/>
            <w:vAlign w:val="center"/>
          </w:tcPr>
          <w:p w14:paraId="79C127DF"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4</w:t>
            </w:r>
          </w:p>
        </w:tc>
        <w:tc>
          <w:tcPr>
            <w:tcW w:w="2651" w:type="dxa"/>
            <w:tcBorders>
              <w:top w:val="nil"/>
              <w:left w:val="nil"/>
              <w:bottom w:val="single" w:sz="4" w:space="0" w:color="auto"/>
              <w:right w:val="single" w:sz="4" w:space="0" w:color="auto"/>
            </w:tcBorders>
            <w:shd w:val="clear" w:color="auto" w:fill="auto"/>
            <w:vAlign w:val="center"/>
          </w:tcPr>
          <w:p w14:paraId="02238D00" w14:textId="77777777" w:rsidR="004E5739" w:rsidRPr="002C23F1" w:rsidRDefault="004E5739" w:rsidP="00BA2D18">
            <w:pPr>
              <w:spacing w:line="240" w:lineRule="auto"/>
              <w:rPr>
                <w:rFonts w:ascii="Times New Roman" w:hAnsi="Times New Roman" w:cs="Times New Roman"/>
                <w:sz w:val="24"/>
                <w:szCs w:val="24"/>
              </w:rPr>
            </w:pPr>
            <w:r w:rsidRPr="002C23F1">
              <w:rPr>
                <w:rFonts w:ascii="Times New Roman" w:hAnsi="Times New Roman" w:cs="Times New Roman"/>
                <w:sz w:val="24"/>
                <w:szCs w:val="24"/>
              </w:rPr>
              <w:t>Capacitação</w:t>
            </w:r>
          </w:p>
        </w:tc>
        <w:tc>
          <w:tcPr>
            <w:tcW w:w="1024" w:type="dxa"/>
            <w:tcBorders>
              <w:top w:val="nil"/>
              <w:left w:val="nil"/>
              <w:bottom w:val="single" w:sz="4" w:space="0" w:color="auto"/>
              <w:right w:val="single" w:sz="4" w:space="0" w:color="auto"/>
            </w:tcBorders>
            <w:shd w:val="clear" w:color="auto" w:fill="auto"/>
            <w:noWrap/>
            <w:vAlign w:val="center"/>
          </w:tcPr>
          <w:p w14:paraId="28E4FD90"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Pessoas</w:t>
            </w:r>
          </w:p>
        </w:tc>
        <w:tc>
          <w:tcPr>
            <w:tcW w:w="777" w:type="dxa"/>
            <w:tcBorders>
              <w:top w:val="single" w:sz="4" w:space="0" w:color="auto"/>
              <w:left w:val="nil"/>
              <w:bottom w:val="single" w:sz="4" w:space="0" w:color="auto"/>
              <w:right w:val="single" w:sz="4" w:space="0" w:color="auto"/>
            </w:tcBorders>
            <w:vAlign w:val="center"/>
          </w:tcPr>
          <w:p w14:paraId="73E03881" w14:textId="77777777" w:rsidR="004E5739" w:rsidRPr="002C23F1" w:rsidRDefault="004E5739" w:rsidP="00BA2D18">
            <w:pPr>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324" w:type="dxa"/>
            <w:tcBorders>
              <w:top w:val="single" w:sz="4" w:space="0" w:color="auto"/>
              <w:left w:val="single" w:sz="4" w:space="0" w:color="auto"/>
              <w:bottom w:val="single" w:sz="4" w:space="0" w:color="auto"/>
              <w:right w:val="single" w:sz="4" w:space="0" w:color="auto"/>
            </w:tcBorders>
          </w:tcPr>
          <w:p w14:paraId="7BE4B0BC" w14:textId="77777777" w:rsidR="004E5739" w:rsidRPr="002C23F1" w:rsidRDefault="004E5739" w:rsidP="00BA2D18">
            <w:pPr>
              <w:spacing w:line="240" w:lineRule="auto"/>
              <w:jc w:val="center"/>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tcBorders>
            <w:shd w:val="clear" w:color="auto" w:fill="auto"/>
            <w:noWrap/>
            <w:vAlign w:val="center"/>
          </w:tcPr>
          <w:p w14:paraId="0F5D1084" w14:textId="77777777" w:rsidR="004E5739" w:rsidRPr="002C23F1" w:rsidRDefault="004E5739" w:rsidP="00BA2D18">
            <w:pPr>
              <w:spacing w:line="240" w:lineRule="auto"/>
              <w:jc w:val="center"/>
              <w:rPr>
                <w:rFonts w:ascii="Times New Roman" w:eastAsia="Times New Roman" w:hAnsi="Times New Roman" w:cs="Times New Roman"/>
              </w:rPr>
            </w:pPr>
          </w:p>
        </w:tc>
      </w:tr>
    </w:tbl>
    <w:p w14:paraId="7933F119" w14:textId="77777777" w:rsidR="008472C0" w:rsidRPr="009B7685" w:rsidRDefault="4F2C0FBD" w:rsidP="4F2C0FBD">
      <w:pPr>
        <w:jc w:val="center"/>
        <w:rPr>
          <w:rFonts w:eastAsiaTheme="minorEastAsia"/>
          <w:b/>
          <w:bCs/>
          <w:color w:val="4F81BD" w:themeColor="accent1"/>
          <w:sz w:val="18"/>
          <w:szCs w:val="18"/>
        </w:rPr>
      </w:pPr>
      <w:r w:rsidRPr="4F2C0FBD">
        <w:rPr>
          <w:rFonts w:eastAsiaTheme="minorEastAsia"/>
          <w:b/>
          <w:bCs/>
          <w:color w:val="4F81BD" w:themeColor="accent1"/>
          <w:sz w:val="18"/>
          <w:szCs w:val="18"/>
        </w:rPr>
        <w:t>Tabela 2 – Análise de Custos da demanda</w:t>
      </w:r>
    </w:p>
    <w:p w14:paraId="3DD7C2B8"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A escolha do prazo de 36 (trinta e seis) meses de vigência baseia-se na efetividade de projeção de crescimento da demanda de armazenamento de dados do Poder Judiciário de Mato Grosso, considerando projetos / eventos já conhecidos por esta Coordenadoria de Tecnologia da Informação.</w:t>
      </w:r>
    </w:p>
    <w:p w14:paraId="1955DD05" w14:textId="30F52EC5" w:rsidR="008472C0" w:rsidRPr="00E4500C"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No último ano dos 36 (trinta e seis) meses da vigência de garantia da</w:t>
      </w:r>
      <w:r w:rsidR="00BA2D18">
        <w:rPr>
          <w:rFonts w:eastAsiaTheme="minorEastAsia"/>
          <w:sz w:val="24"/>
          <w:szCs w:val="24"/>
        </w:rPr>
        <w:t xml:space="preserve"> solução</w:t>
      </w:r>
      <w:r w:rsidRPr="4F2C0FBD">
        <w:rPr>
          <w:rFonts w:eastAsiaTheme="minorEastAsia"/>
          <w:sz w:val="24"/>
          <w:szCs w:val="24"/>
        </w:rPr>
        <w:t xml:space="preserve">, a equipe técnica demandante deverá realizar novo </w:t>
      </w:r>
      <w:r w:rsidR="004E5739">
        <w:rPr>
          <w:rFonts w:eastAsiaTheme="minorEastAsia"/>
          <w:sz w:val="24"/>
          <w:szCs w:val="24"/>
        </w:rPr>
        <w:t>planejamento de contratação</w:t>
      </w:r>
      <w:r w:rsidRPr="4F2C0FBD">
        <w:rPr>
          <w:rFonts w:eastAsiaTheme="minorEastAsia"/>
          <w:sz w:val="24"/>
          <w:szCs w:val="24"/>
        </w:rPr>
        <w:t xml:space="preserve">, que viabilize a expansão desta solução, caso entenda-se necessário, assim como o suporte </w:t>
      </w:r>
      <w:r w:rsidRPr="00E4500C">
        <w:rPr>
          <w:rFonts w:eastAsiaTheme="minorEastAsia"/>
          <w:sz w:val="24"/>
          <w:szCs w:val="24"/>
        </w:rPr>
        <w:t>técnico e renovação da garantia dos equipamentos aqui adquiridos.</w:t>
      </w:r>
    </w:p>
    <w:p w14:paraId="6B938938" w14:textId="2193C8BD" w:rsidR="00032EA8" w:rsidRPr="009B7685" w:rsidRDefault="00032EA8" w:rsidP="4F2C0FBD">
      <w:pPr>
        <w:pStyle w:val="Primeirorecuodecorpodetexto"/>
        <w:spacing w:after="120"/>
        <w:ind w:firstLine="709"/>
        <w:rPr>
          <w:rFonts w:eastAsiaTheme="minorEastAsia"/>
          <w:sz w:val="24"/>
          <w:szCs w:val="24"/>
        </w:rPr>
      </w:pPr>
      <w:r w:rsidRPr="00E4500C">
        <w:rPr>
          <w:rFonts w:eastAsiaTheme="minorEastAsia"/>
          <w:sz w:val="24"/>
          <w:szCs w:val="24"/>
        </w:rPr>
        <w:t>Cabe também ressalvar que o pagamento integral dos itens 1 a 3</w:t>
      </w:r>
      <w:r w:rsidR="00B629AD" w:rsidRPr="00E4500C">
        <w:rPr>
          <w:rFonts w:eastAsiaTheme="minorEastAsia"/>
          <w:sz w:val="24"/>
          <w:szCs w:val="24"/>
        </w:rPr>
        <w:t>,</w:t>
      </w:r>
      <w:r w:rsidRPr="00E4500C">
        <w:rPr>
          <w:rFonts w:eastAsiaTheme="minorEastAsia"/>
          <w:sz w:val="24"/>
          <w:szCs w:val="24"/>
        </w:rPr>
        <w:t xml:space="preserve"> mediante à entrega definitiva dos mesmos</w:t>
      </w:r>
      <w:r w:rsidR="001F442B" w:rsidRPr="00E4500C">
        <w:rPr>
          <w:rFonts w:eastAsiaTheme="minorEastAsia"/>
          <w:sz w:val="24"/>
          <w:szCs w:val="24"/>
        </w:rPr>
        <w:t xml:space="preserve">, </w:t>
      </w:r>
      <w:r w:rsidRPr="00E4500C">
        <w:rPr>
          <w:rFonts w:eastAsiaTheme="minorEastAsia"/>
          <w:sz w:val="24"/>
          <w:szCs w:val="24"/>
        </w:rPr>
        <w:t>englob</w:t>
      </w:r>
      <w:r w:rsidR="001F442B" w:rsidRPr="00E4500C">
        <w:rPr>
          <w:rFonts w:eastAsiaTheme="minorEastAsia"/>
          <w:sz w:val="24"/>
          <w:szCs w:val="24"/>
        </w:rPr>
        <w:t>ando</w:t>
      </w:r>
      <w:r w:rsidRPr="00E4500C">
        <w:rPr>
          <w:rFonts w:eastAsiaTheme="minorEastAsia"/>
          <w:sz w:val="24"/>
          <w:szCs w:val="24"/>
        </w:rPr>
        <w:t xml:space="preserve"> suporte técnico e garantia</w:t>
      </w:r>
      <w:r w:rsidR="001F442B" w:rsidRPr="00E4500C">
        <w:rPr>
          <w:rFonts w:eastAsiaTheme="minorEastAsia"/>
          <w:sz w:val="24"/>
          <w:szCs w:val="24"/>
        </w:rPr>
        <w:t xml:space="preserve"> para assegurar a disponibilidade da solução contratada</w:t>
      </w:r>
      <w:r w:rsidRPr="00E4500C">
        <w:rPr>
          <w:rFonts w:eastAsiaTheme="minorEastAsia"/>
          <w:sz w:val="24"/>
          <w:szCs w:val="24"/>
        </w:rPr>
        <w:t>,</w:t>
      </w:r>
      <w:r w:rsidR="001F442B" w:rsidRPr="00E4500C">
        <w:rPr>
          <w:rFonts w:eastAsiaTheme="minorEastAsia"/>
          <w:sz w:val="24"/>
          <w:szCs w:val="24"/>
        </w:rPr>
        <w:t xml:space="preserve"> está congruente com as práticas do </w:t>
      </w:r>
      <w:r w:rsidRPr="00E4500C">
        <w:rPr>
          <w:rFonts w:eastAsiaTheme="minorEastAsia"/>
          <w:sz w:val="24"/>
          <w:szCs w:val="24"/>
        </w:rPr>
        <w:t xml:space="preserve">mercado em </w:t>
      </w:r>
      <w:r w:rsidRPr="00E4500C">
        <w:rPr>
          <w:rFonts w:eastAsiaTheme="minorEastAsia"/>
          <w:sz w:val="24"/>
          <w:szCs w:val="24"/>
        </w:rPr>
        <w:lastRenderedPageBreak/>
        <w:t xml:space="preserve">questão, </w:t>
      </w:r>
      <w:r w:rsidR="001F442B" w:rsidRPr="00E4500C">
        <w:rPr>
          <w:rFonts w:eastAsiaTheme="minorEastAsia"/>
          <w:sz w:val="24"/>
          <w:szCs w:val="24"/>
        </w:rPr>
        <w:t xml:space="preserve">como foi o caso do </w:t>
      </w:r>
      <w:r w:rsidR="00B629AD" w:rsidRPr="00E4500C">
        <w:rPr>
          <w:rFonts w:eastAsiaTheme="minorEastAsia"/>
          <w:sz w:val="24"/>
          <w:szCs w:val="24"/>
        </w:rPr>
        <w:t>P</w:t>
      </w:r>
      <w:r w:rsidR="001F442B" w:rsidRPr="00E4500C">
        <w:rPr>
          <w:rFonts w:eastAsiaTheme="minorEastAsia"/>
          <w:sz w:val="24"/>
          <w:szCs w:val="24"/>
        </w:rPr>
        <w:t xml:space="preserve">regão </w:t>
      </w:r>
      <w:r w:rsidR="000E047F" w:rsidRPr="00E4500C">
        <w:rPr>
          <w:rFonts w:eastAsiaTheme="minorEastAsia"/>
          <w:sz w:val="24"/>
          <w:szCs w:val="24"/>
        </w:rPr>
        <w:t>189/2018 do Supremo Tribunal de Justiça, assim como outras</w:t>
      </w:r>
      <w:r w:rsidRPr="00E4500C">
        <w:rPr>
          <w:rFonts w:eastAsiaTheme="minorEastAsia"/>
          <w:sz w:val="24"/>
          <w:szCs w:val="24"/>
        </w:rPr>
        <w:t xml:space="preserve"> contratações públicas similares </w:t>
      </w:r>
      <w:r w:rsidR="00B629AD" w:rsidRPr="00E4500C">
        <w:rPr>
          <w:rFonts w:eastAsiaTheme="minorEastAsia"/>
          <w:sz w:val="24"/>
          <w:szCs w:val="24"/>
        </w:rPr>
        <w:t xml:space="preserve">constantes </w:t>
      </w:r>
      <w:r w:rsidRPr="00E4500C">
        <w:rPr>
          <w:rFonts w:eastAsiaTheme="minorEastAsia"/>
          <w:sz w:val="24"/>
          <w:szCs w:val="24"/>
        </w:rPr>
        <w:t>deste Estudo Preliminar.</w:t>
      </w:r>
    </w:p>
    <w:p w14:paraId="1BAB8362" w14:textId="77777777" w:rsidR="008472C0" w:rsidRPr="009B7685" w:rsidRDefault="008472C0" w:rsidP="4F2C0FBD">
      <w:pPr>
        <w:pStyle w:val="Ttulo2"/>
        <w:rPr>
          <w:rFonts w:asciiTheme="minorHAnsi" w:eastAsiaTheme="minorEastAsia" w:hAnsiTheme="minorHAnsi" w:cstheme="minorBidi"/>
        </w:rPr>
      </w:pPr>
      <w:bookmarkStart w:id="35" w:name="_Toc534884808"/>
      <w:r w:rsidRPr="4F2C0FBD">
        <w:rPr>
          <w:rFonts w:asciiTheme="minorHAnsi" w:eastAsiaTheme="minorEastAsia" w:hAnsiTheme="minorHAnsi" w:cstheme="minorBidi"/>
        </w:rPr>
        <w:t>Escolha e Justificativa da Solução (Art. 14, IV)</w:t>
      </w:r>
      <w:bookmarkEnd w:id="35"/>
    </w:p>
    <w:p w14:paraId="1DDC0ADD" w14:textId="77777777" w:rsidR="008472C0" w:rsidRPr="009B7685" w:rsidRDefault="008472C0" w:rsidP="008472C0">
      <w:pPr>
        <w:ind w:firstLine="709"/>
        <w:jc w:val="both"/>
        <w:rPr>
          <w:rFonts w:cstheme="minorHAnsi"/>
          <w:sz w:val="24"/>
          <w:szCs w:val="24"/>
        </w:rPr>
      </w:pPr>
    </w:p>
    <w:p w14:paraId="1D9985F9"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Conforme explanado no relatório de 31/10/2017 – ID G00321059, do site do Gartner, a escolha da solução de </w:t>
      </w:r>
      <w:r w:rsidRPr="4F2C0FBD">
        <w:rPr>
          <w:rFonts w:eastAsiaTheme="minorEastAsia"/>
          <w:i/>
          <w:iCs/>
          <w:sz w:val="24"/>
          <w:szCs w:val="24"/>
        </w:rPr>
        <w:t>storage</w:t>
      </w:r>
      <w:r w:rsidRPr="4F2C0FBD">
        <w:rPr>
          <w:rFonts w:eastAsiaTheme="minorEastAsia"/>
          <w:sz w:val="24"/>
          <w:szCs w:val="24"/>
        </w:rPr>
        <w:t xml:space="preserve"> deve considerar, primordialmente, critérios e pesos definidos pelo departamento de Tecnologia da Informação e Comunicação do órgão, de forma a atender seus objetivos, ao invés de focar exclusivamente na pontuação ou classificação dos fornecedores, apresentadas nas avaliações em geral.</w:t>
      </w:r>
    </w:p>
    <w:p w14:paraId="25B55216"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Considerando a atual infraestrutura de armazenamento de dados deste Poder Judiciário, o modelo de contratação mais aderente à atual realidade é a “</w:t>
      </w:r>
      <w:r w:rsidRPr="4F2C0FBD">
        <w:rPr>
          <w:rFonts w:eastAsiaTheme="minorEastAsia"/>
          <w:i/>
          <w:iCs/>
          <w:sz w:val="24"/>
          <w:szCs w:val="24"/>
        </w:rPr>
        <w:t>on-premise</w:t>
      </w:r>
      <w:r w:rsidRPr="4F2C0FBD">
        <w:rPr>
          <w:rFonts w:eastAsiaTheme="minorEastAsia"/>
          <w:sz w:val="24"/>
          <w:szCs w:val="24"/>
        </w:rPr>
        <w:t>”, em detrimento de uma solução “</w:t>
      </w:r>
      <w:r w:rsidRPr="4F2C0FBD">
        <w:rPr>
          <w:rFonts w:eastAsiaTheme="minorEastAsia"/>
          <w:i/>
          <w:iCs/>
          <w:sz w:val="24"/>
          <w:szCs w:val="24"/>
        </w:rPr>
        <w:t>cloud</w:t>
      </w:r>
      <w:r w:rsidRPr="4F2C0FBD">
        <w:rPr>
          <w:rFonts w:eastAsiaTheme="minorEastAsia"/>
          <w:sz w:val="24"/>
          <w:szCs w:val="24"/>
        </w:rPr>
        <w:t>”, uma vez que uma migração dos 300 TB de dados armazenados nos VSP G1000 para uma estrutura remota (que é o caso da “</w:t>
      </w:r>
      <w:r w:rsidRPr="4F2C0FBD">
        <w:rPr>
          <w:rFonts w:eastAsiaTheme="minorEastAsia"/>
          <w:i/>
          <w:iCs/>
          <w:sz w:val="24"/>
          <w:szCs w:val="24"/>
        </w:rPr>
        <w:t>cloud</w:t>
      </w:r>
      <w:r w:rsidRPr="4F2C0FBD">
        <w:rPr>
          <w:rFonts w:eastAsiaTheme="minorEastAsia"/>
          <w:sz w:val="24"/>
          <w:szCs w:val="24"/>
        </w:rPr>
        <w:t>”), demandaria altas taxas de conectividades, além de tecnologia de comunicação entre as soluções, que este Poder Judiciário ainda não possui.</w:t>
      </w:r>
    </w:p>
    <w:p w14:paraId="381AEB69"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 xml:space="preserve">Com a contratação que ora se pretende, num futuro próximo, a solução cloud poderá ser a opção mais aderente para a demanda deste PJMT, pois já teremos em nosso parque de TIC estrutura propícia para tanto (um dos pré-requisitos da demanda). </w:t>
      </w:r>
    </w:p>
    <w:p w14:paraId="7BC5F7AD" w14:textId="77777777" w:rsidR="008472C0" w:rsidRDefault="4F2C0FBD" w:rsidP="4F2C0FBD">
      <w:pPr>
        <w:ind w:firstLine="709"/>
        <w:jc w:val="both"/>
        <w:rPr>
          <w:rFonts w:eastAsiaTheme="minorEastAsia"/>
          <w:sz w:val="24"/>
          <w:szCs w:val="24"/>
        </w:rPr>
      </w:pPr>
      <w:r w:rsidRPr="4F2C0FBD">
        <w:rPr>
          <w:rFonts w:eastAsiaTheme="minorEastAsia"/>
          <w:sz w:val="24"/>
          <w:szCs w:val="24"/>
        </w:rPr>
        <w:t xml:space="preserve">Outros aspectos que devem ser considerados quanto à utilização de armazenamento de dados em nuvem - relatório ID G00350720 – segundo especialistas do Gartner, são os prazos de atendimento corporativos (SLAs), gerenciamento dos dados e até mesmo políticas de precificação, as quais ainda estão em fase de melhoria, e que tais modalidades estão em processo de maturação. Portanto, o armazenamento de dados em nuvem tem sido a opção adotada primordialmente por iniciativas e negócios digitais. </w:t>
      </w:r>
    </w:p>
    <w:p w14:paraId="74BBB48F" w14:textId="77777777" w:rsidR="008472C0" w:rsidRPr="009B7685" w:rsidRDefault="4F2C0FBD" w:rsidP="4F2C0FBD">
      <w:pPr>
        <w:ind w:firstLine="709"/>
        <w:jc w:val="both"/>
        <w:rPr>
          <w:rFonts w:eastAsiaTheme="minorEastAsia"/>
          <w:sz w:val="24"/>
          <w:szCs w:val="24"/>
        </w:rPr>
      </w:pPr>
      <w:r w:rsidRPr="4F2C0FBD">
        <w:rPr>
          <w:rFonts w:eastAsiaTheme="minorEastAsia"/>
          <w:sz w:val="24"/>
          <w:szCs w:val="24"/>
        </w:rPr>
        <w:t>Portanto, cabe análise sobre soluções “</w:t>
      </w:r>
      <w:r w:rsidRPr="4F2C0FBD">
        <w:rPr>
          <w:rFonts w:eastAsiaTheme="minorEastAsia"/>
          <w:i/>
          <w:iCs/>
          <w:sz w:val="24"/>
          <w:szCs w:val="24"/>
        </w:rPr>
        <w:t>on-premisse</w:t>
      </w:r>
      <w:r w:rsidRPr="4F2C0FBD">
        <w:rPr>
          <w:rFonts w:eastAsiaTheme="minorEastAsia"/>
          <w:sz w:val="24"/>
          <w:szCs w:val="24"/>
        </w:rPr>
        <w:t xml:space="preserve">” que mais se adequam, atualmente, às especificidades da demanda do PJMT. Para tal, essencial a segmentação dos requisitos técnicos em duas grandes vertentes: </w:t>
      </w:r>
    </w:p>
    <w:p w14:paraId="600AD6F2" w14:textId="65E70829" w:rsidR="008472C0" w:rsidRPr="009B7685" w:rsidRDefault="4F2C0FBD" w:rsidP="4F2C0FBD">
      <w:pPr>
        <w:pStyle w:val="PargrafodaLista"/>
        <w:numPr>
          <w:ilvl w:val="0"/>
          <w:numId w:val="20"/>
        </w:numPr>
        <w:rPr>
          <w:rFonts w:eastAsiaTheme="minorEastAsia"/>
          <w:sz w:val="24"/>
          <w:szCs w:val="24"/>
        </w:rPr>
      </w:pPr>
      <w:r w:rsidRPr="4F2C0FBD">
        <w:rPr>
          <w:rFonts w:eastAsiaTheme="minorEastAsia"/>
          <w:sz w:val="24"/>
          <w:szCs w:val="24"/>
        </w:rPr>
        <w:t>Capacidade de armazenamento e gerenciamento d</w:t>
      </w:r>
      <w:r w:rsidR="007A3490">
        <w:rPr>
          <w:rFonts w:eastAsiaTheme="minorEastAsia"/>
          <w:sz w:val="24"/>
          <w:szCs w:val="24"/>
        </w:rPr>
        <w:t xml:space="preserve">e aproximadamente 70% do volume total dos dados armazenados nos Storages VSP G1000, incluindo Máquinas Virtuais de algumas aplicações deste PJMT; </w:t>
      </w:r>
    </w:p>
    <w:p w14:paraId="1AE4EBA4" w14:textId="77777777" w:rsidR="008472C0" w:rsidRPr="009B7685" w:rsidRDefault="4F2C0FBD" w:rsidP="4F2C0FBD">
      <w:pPr>
        <w:pStyle w:val="PargrafodaLista"/>
        <w:numPr>
          <w:ilvl w:val="0"/>
          <w:numId w:val="20"/>
        </w:numPr>
        <w:rPr>
          <w:rFonts w:eastAsiaTheme="minorEastAsia"/>
          <w:sz w:val="24"/>
          <w:szCs w:val="24"/>
        </w:rPr>
      </w:pPr>
      <w:r w:rsidRPr="4F2C0FBD">
        <w:rPr>
          <w:rFonts w:eastAsiaTheme="minorEastAsia"/>
          <w:sz w:val="24"/>
          <w:szCs w:val="24"/>
        </w:rPr>
        <w:t xml:space="preserve">Necessidade de conexão apropriada com os Storages VSP G1000 para migração dos dados / comunicação transparente, via </w:t>
      </w:r>
      <w:r w:rsidRPr="4F2C0FBD">
        <w:rPr>
          <w:rFonts w:eastAsiaTheme="minorEastAsia"/>
          <w:i/>
          <w:iCs/>
          <w:sz w:val="24"/>
          <w:szCs w:val="24"/>
        </w:rPr>
        <w:t>VMware</w:t>
      </w:r>
      <w:r w:rsidRPr="4F2C0FBD">
        <w:rPr>
          <w:rFonts w:eastAsiaTheme="minorEastAsia"/>
          <w:sz w:val="24"/>
          <w:szCs w:val="24"/>
        </w:rPr>
        <w:t xml:space="preserve">. </w:t>
      </w:r>
    </w:p>
    <w:p w14:paraId="232D6ED7" w14:textId="75A5FAB4" w:rsidR="008472C0" w:rsidRPr="009B7685" w:rsidRDefault="007A3490" w:rsidP="007A3490">
      <w:pPr>
        <w:ind w:firstLine="709"/>
        <w:jc w:val="both"/>
        <w:rPr>
          <w:rFonts w:eastAsiaTheme="minorEastAsia"/>
          <w:sz w:val="24"/>
          <w:szCs w:val="24"/>
        </w:rPr>
      </w:pPr>
      <w:r>
        <w:rPr>
          <w:rFonts w:eastAsiaTheme="minorEastAsia"/>
          <w:sz w:val="24"/>
          <w:szCs w:val="24"/>
        </w:rPr>
        <w:t>Considerando arquitetura de storages que atendam as demandas acima apresentadas, o relatório “</w:t>
      </w:r>
      <w:r>
        <w:rPr>
          <w:rFonts w:eastAsiaTheme="minorEastAsia"/>
          <w:i/>
          <w:sz w:val="24"/>
          <w:szCs w:val="24"/>
        </w:rPr>
        <w:t>Magic Quadrant for General-Purpose Disk Arrays</w:t>
      </w:r>
      <w:r>
        <w:rPr>
          <w:rFonts w:eastAsiaTheme="minorEastAsia"/>
          <w:sz w:val="24"/>
          <w:szCs w:val="24"/>
        </w:rPr>
        <w:t>” (Quadrante Mágico para Storages de Utilidade Generalizada), apresenta, conforme figura abaixo, os principais fabricantes de soluções de armazenamento de dados similares ao modelo de concepção dos equipamentos já utilizado por este Poder Judiciário, qual seja, Storage de Bloco.</w:t>
      </w:r>
    </w:p>
    <w:p w14:paraId="2101F6F0" w14:textId="77777777" w:rsidR="008472C0" w:rsidRPr="009B7685" w:rsidRDefault="008472C0" w:rsidP="008472C0">
      <w:pPr>
        <w:pStyle w:val="Primeirorecuodecorpodetexto"/>
        <w:spacing w:after="120"/>
        <w:ind w:firstLine="0"/>
        <w:jc w:val="center"/>
        <w:rPr>
          <w:rFonts w:cstheme="minorHAnsi"/>
          <w:sz w:val="24"/>
          <w:szCs w:val="24"/>
        </w:rPr>
      </w:pPr>
      <w:r w:rsidRPr="009B7685">
        <w:rPr>
          <w:rFonts w:cstheme="minorHAnsi"/>
          <w:noProof/>
        </w:rPr>
        <w:drawing>
          <wp:inline distT="0" distB="0" distL="0" distR="0" wp14:anchorId="5625362C" wp14:editId="6C9C1A16">
            <wp:extent cx="4855076" cy="4848226"/>
            <wp:effectExtent l="0" t="0" r="3175" b="0"/>
            <wp:docPr id="19287355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855076" cy="4848226"/>
                    </a:xfrm>
                    <a:prstGeom prst="rect">
                      <a:avLst/>
                    </a:prstGeom>
                  </pic:spPr>
                </pic:pic>
              </a:graphicData>
            </a:graphic>
          </wp:inline>
        </w:drawing>
      </w:r>
    </w:p>
    <w:p w14:paraId="636B1DF1" w14:textId="77777777" w:rsidR="008472C0" w:rsidRPr="009B7685" w:rsidRDefault="4F2C0FBD" w:rsidP="4F2C0FBD">
      <w:pPr>
        <w:pStyle w:val="Legenda"/>
        <w:rPr>
          <w:rFonts w:eastAsiaTheme="minorEastAsia"/>
          <w:sz w:val="18"/>
        </w:rPr>
      </w:pPr>
      <w:r w:rsidRPr="4F2C0FBD">
        <w:rPr>
          <w:rFonts w:eastAsiaTheme="minorEastAsia"/>
          <w:sz w:val="18"/>
        </w:rPr>
        <w:t xml:space="preserve">Figura 7 – Quadrante Mágico para </w:t>
      </w:r>
      <w:r w:rsidRPr="4F2C0FBD">
        <w:rPr>
          <w:rFonts w:eastAsiaTheme="minorEastAsia"/>
          <w:i/>
          <w:iCs/>
          <w:sz w:val="18"/>
        </w:rPr>
        <w:t>storage</w:t>
      </w:r>
      <w:r w:rsidRPr="4F2C0FBD">
        <w:rPr>
          <w:rFonts w:eastAsiaTheme="minorEastAsia"/>
          <w:sz w:val="18"/>
        </w:rPr>
        <w:t xml:space="preserve"> de Sistema de Arquivos Distribuídos e de Objeto</w:t>
      </w:r>
    </w:p>
    <w:p w14:paraId="1F688EB4" w14:textId="14F51B86" w:rsidR="008472C0"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Em vistas de se atender a demanda deste Poder, a qual necessita de uma solução adequada para o perfil de dados já apresentados, com conexão SAN, </w:t>
      </w:r>
      <w:r w:rsidR="007A3490">
        <w:rPr>
          <w:rFonts w:eastAsiaTheme="minorEastAsia"/>
          <w:sz w:val="24"/>
          <w:szCs w:val="24"/>
        </w:rPr>
        <w:t xml:space="preserve">o quadro acima evidencia que existem diversos fabricantes com capacidade técnica em atender </w:t>
      </w:r>
      <w:r w:rsidRPr="4F2C0FBD">
        <w:rPr>
          <w:rFonts w:eastAsiaTheme="minorEastAsia"/>
          <w:sz w:val="24"/>
          <w:szCs w:val="24"/>
        </w:rPr>
        <w:t>os requisitos técnicos esperados.</w:t>
      </w:r>
    </w:p>
    <w:p w14:paraId="636CD370" w14:textId="63C34103" w:rsidR="00252812" w:rsidRDefault="00252812" w:rsidP="4F2C0FBD">
      <w:pPr>
        <w:pStyle w:val="Primeirorecuodecorpodetexto"/>
        <w:spacing w:after="120"/>
        <w:ind w:firstLine="709"/>
        <w:rPr>
          <w:rFonts w:eastAsiaTheme="minorEastAsia"/>
          <w:sz w:val="24"/>
          <w:szCs w:val="24"/>
        </w:rPr>
      </w:pPr>
      <w:r>
        <w:rPr>
          <w:rFonts w:eastAsiaTheme="minorEastAsia"/>
          <w:sz w:val="24"/>
          <w:szCs w:val="24"/>
        </w:rPr>
        <w:t>A opção por um modelo de Storage “</w:t>
      </w:r>
      <w:r>
        <w:rPr>
          <w:rFonts w:eastAsiaTheme="minorEastAsia"/>
          <w:i/>
          <w:sz w:val="24"/>
          <w:szCs w:val="24"/>
        </w:rPr>
        <w:t>on-premisse</w:t>
      </w:r>
      <w:r>
        <w:rPr>
          <w:rFonts w:eastAsiaTheme="minorEastAsia"/>
          <w:sz w:val="24"/>
          <w:szCs w:val="24"/>
        </w:rPr>
        <w:t xml:space="preserve">” de porte </w:t>
      </w:r>
      <w:r>
        <w:rPr>
          <w:rFonts w:eastAsiaTheme="minorEastAsia"/>
          <w:i/>
          <w:sz w:val="24"/>
          <w:szCs w:val="24"/>
        </w:rPr>
        <w:t>Mid-Range</w:t>
      </w:r>
      <w:r>
        <w:rPr>
          <w:rFonts w:eastAsiaTheme="minorEastAsia"/>
          <w:sz w:val="24"/>
          <w:szCs w:val="24"/>
        </w:rPr>
        <w:t xml:space="preserve"> se mostra aderente para melhor atender as necessidades técnicas para ampliação da capacidade de armazenamento de dados, principalmente, pela migração de algumas Máquinas Virtuais, o que exigirá da estrutura adequada para tal finalidade.</w:t>
      </w:r>
    </w:p>
    <w:p w14:paraId="0937554D" w14:textId="46F8556D" w:rsidR="008472C0" w:rsidRPr="00256CDF" w:rsidRDefault="00252812" w:rsidP="00252812">
      <w:pPr>
        <w:pStyle w:val="Primeirorecuodecorpodetexto"/>
        <w:spacing w:after="120"/>
        <w:ind w:firstLine="709"/>
        <w:rPr>
          <w:rFonts w:eastAsiaTheme="minorEastAsia"/>
          <w:color w:val="FF0000"/>
          <w:sz w:val="24"/>
          <w:szCs w:val="24"/>
        </w:rPr>
      </w:pPr>
      <w:r>
        <w:rPr>
          <w:rFonts w:eastAsiaTheme="minorEastAsia"/>
          <w:sz w:val="24"/>
          <w:szCs w:val="24"/>
        </w:rPr>
        <w:t xml:space="preserve">Outro aspecto inerente ao modelo de Storage </w:t>
      </w:r>
      <w:r>
        <w:rPr>
          <w:rFonts w:eastAsiaTheme="minorEastAsia"/>
          <w:i/>
          <w:sz w:val="24"/>
          <w:szCs w:val="24"/>
        </w:rPr>
        <w:t>Mid-Range</w:t>
      </w:r>
      <w:r>
        <w:rPr>
          <w:rFonts w:eastAsiaTheme="minorEastAsia"/>
          <w:sz w:val="24"/>
          <w:szCs w:val="24"/>
        </w:rPr>
        <w:t xml:space="preserve"> pretendido é a conexão SAN</w:t>
      </w:r>
      <w:r w:rsidR="00513ECC" w:rsidRPr="4F2C0FBD">
        <w:rPr>
          <w:rFonts w:eastAsiaTheme="minorEastAsia"/>
          <w:sz w:val="24"/>
          <w:szCs w:val="24"/>
        </w:rPr>
        <w:t xml:space="preserve">, </w:t>
      </w:r>
      <w:r>
        <w:rPr>
          <w:rFonts w:eastAsiaTheme="minorEastAsia"/>
          <w:sz w:val="24"/>
          <w:szCs w:val="24"/>
        </w:rPr>
        <w:t>mesma tecnologia de conectividade dos VSP G1000, daí o entendimento da equipe técnica como modalidade mais adequada para comunicação constante entre as duas soluções.</w:t>
      </w:r>
    </w:p>
    <w:p w14:paraId="2AD03082" w14:textId="3FF21F1F" w:rsidR="008472C0" w:rsidRPr="009B7685" w:rsidRDefault="4F2C0FBD" w:rsidP="4F2C0FBD">
      <w:pPr>
        <w:pStyle w:val="Primeirorecuodecorpodetexto"/>
        <w:spacing w:after="120"/>
        <w:ind w:firstLine="709"/>
        <w:rPr>
          <w:rFonts w:eastAsiaTheme="minorEastAsia"/>
          <w:b/>
          <w:bCs/>
          <w:color w:val="FF0000"/>
          <w:sz w:val="24"/>
          <w:szCs w:val="24"/>
        </w:rPr>
      </w:pPr>
      <w:r w:rsidRPr="4F2C0FBD">
        <w:rPr>
          <w:rFonts w:eastAsiaTheme="minorEastAsia"/>
          <w:sz w:val="24"/>
          <w:szCs w:val="24"/>
        </w:rPr>
        <w:t>Deste modo, considerando as duas demandas macro do projeto, quais sejam armazenamento de dados</w:t>
      </w:r>
      <w:r w:rsidR="00252812">
        <w:rPr>
          <w:rFonts w:eastAsiaTheme="minorEastAsia"/>
          <w:sz w:val="24"/>
          <w:szCs w:val="24"/>
        </w:rPr>
        <w:t xml:space="preserve"> e máquinas virtuais, além de </w:t>
      </w:r>
      <w:r w:rsidRPr="4F2C0FBD">
        <w:rPr>
          <w:rFonts w:eastAsiaTheme="minorEastAsia"/>
          <w:sz w:val="24"/>
          <w:szCs w:val="24"/>
        </w:rPr>
        <w:t>conectividade SAN</w:t>
      </w:r>
      <w:r w:rsidR="00513ECC" w:rsidRPr="4F2C0FBD">
        <w:rPr>
          <w:rFonts w:eastAsiaTheme="minorEastAsia"/>
          <w:sz w:val="24"/>
          <w:szCs w:val="24"/>
        </w:rPr>
        <w:t xml:space="preserve">, </w:t>
      </w:r>
      <w:r w:rsidRPr="4F2C0FBD">
        <w:rPr>
          <w:rFonts w:eastAsiaTheme="minorEastAsia"/>
          <w:sz w:val="24"/>
          <w:szCs w:val="24"/>
        </w:rPr>
        <w:t>é correto afirmar que o objeto pretendido poderá ser atendido, pelo menos, pelas seguintes fabricantes (desde que atendam aos requisitos da demanda delineados neste Estudo):</w:t>
      </w:r>
    </w:p>
    <w:p w14:paraId="0FE1B449" w14:textId="77777777" w:rsidR="008472C0" w:rsidRPr="009B7685" w:rsidRDefault="4F2C0FBD" w:rsidP="4F2C0FBD">
      <w:pPr>
        <w:pStyle w:val="Primeirorecuodecorpodetexto"/>
        <w:numPr>
          <w:ilvl w:val="0"/>
          <w:numId w:val="15"/>
        </w:numPr>
        <w:spacing w:after="120"/>
        <w:ind w:left="1276" w:hanging="283"/>
        <w:rPr>
          <w:rFonts w:eastAsiaTheme="minorEastAsia"/>
          <w:sz w:val="24"/>
          <w:szCs w:val="24"/>
        </w:rPr>
      </w:pPr>
      <w:r w:rsidRPr="4F2C0FBD">
        <w:rPr>
          <w:rFonts w:eastAsiaTheme="minorEastAsia"/>
          <w:sz w:val="24"/>
          <w:szCs w:val="24"/>
        </w:rPr>
        <w:t>Dell EMC</w:t>
      </w:r>
    </w:p>
    <w:p w14:paraId="012F0E3E" w14:textId="77777777" w:rsidR="00252812" w:rsidRPr="009B7685" w:rsidRDefault="00252812" w:rsidP="00252812">
      <w:pPr>
        <w:pStyle w:val="Primeirorecuodecorpodetexto"/>
        <w:numPr>
          <w:ilvl w:val="0"/>
          <w:numId w:val="15"/>
        </w:numPr>
        <w:spacing w:after="120"/>
        <w:ind w:left="1276" w:hanging="283"/>
        <w:rPr>
          <w:rFonts w:eastAsiaTheme="minorEastAsia"/>
          <w:sz w:val="24"/>
          <w:szCs w:val="24"/>
        </w:rPr>
      </w:pPr>
      <w:r w:rsidRPr="4F2C0FBD">
        <w:rPr>
          <w:rFonts w:eastAsiaTheme="minorEastAsia"/>
          <w:sz w:val="24"/>
          <w:szCs w:val="24"/>
        </w:rPr>
        <w:t>Hitachi Vantara</w:t>
      </w:r>
    </w:p>
    <w:p w14:paraId="7B314F67" w14:textId="77777777" w:rsidR="00252812" w:rsidRDefault="00252812" w:rsidP="4F2C0FBD">
      <w:pPr>
        <w:pStyle w:val="Primeirorecuodecorpodetexto"/>
        <w:numPr>
          <w:ilvl w:val="0"/>
          <w:numId w:val="15"/>
        </w:numPr>
        <w:spacing w:after="120"/>
        <w:ind w:left="1276" w:hanging="283"/>
        <w:rPr>
          <w:rFonts w:eastAsiaTheme="minorEastAsia"/>
          <w:sz w:val="24"/>
          <w:szCs w:val="24"/>
        </w:rPr>
      </w:pPr>
      <w:r>
        <w:rPr>
          <w:rFonts w:eastAsiaTheme="minorEastAsia"/>
          <w:sz w:val="24"/>
          <w:szCs w:val="24"/>
        </w:rPr>
        <w:t>HPE</w:t>
      </w:r>
    </w:p>
    <w:p w14:paraId="6D181B37" w14:textId="77777777" w:rsidR="00252812" w:rsidRPr="009B7685" w:rsidRDefault="00252812" w:rsidP="00252812">
      <w:pPr>
        <w:pStyle w:val="Primeirorecuodecorpodetexto"/>
        <w:numPr>
          <w:ilvl w:val="0"/>
          <w:numId w:val="15"/>
        </w:numPr>
        <w:spacing w:after="120"/>
        <w:ind w:left="1276" w:hanging="283"/>
        <w:rPr>
          <w:rFonts w:eastAsiaTheme="minorEastAsia"/>
          <w:sz w:val="24"/>
          <w:szCs w:val="24"/>
        </w:rPr>
      </w:pPr>
      <w:r w:rsidRPr="4F2C0FBD">
        <w:rPr>
          <w:rFonts w:eastAsiaTheme="minorEastAsia"/>
          <w:sz w:val="24"/>
          <w:szCs w:val="24"/>
        </w:rPr>
        <w:t>Huawei</w:t>
      </w:r>
    </w:p>
    <w:p w14:paraId="60CE0BD1" w14:textId="2DC01A28" w:rsidR="008472C0" w:rsidRPr="009B7685" w:rsidRDefault="4F2C0FBD" w:rsidP="4F2C0FBD">
      <w:pPr>
        <w:pStyle w:val="Primeirorecuodecorpodetexto"/>
        <w:numPr>
          <w:ilvl w:val="0"/>
          <w:numId w:val="15"/>
        </w:numPr>
        <w:spacing w:after="120"/>
        <w:ind w:left="1276" w:hanging="283"/>
        <w:rPr>
          <w:rFonts w:eastAsiaTheme="minorEastAsia"/>
          <w:sz w:val="24"/>
          <w:szCs w:val="24"/>
        </w:rPr>
      </w:pPr>
      <w:r w:rsidRPr="4F2C0FBD">
        <w:rPr>
          <w:rFonts w:eastAsiaTheme="minorEastAsia"/>
          <w:sz w:val="24"/>
          <w:szCs w:val="24"/>
        </w:rPr>
        <w:t>IBM</w:t>
      </w:r>
    </w:p>
    <w:p w14:paraId="5DC82F83" w14:textId="77777777" w:rsidR="008472C0" w:rsidRPr="009B7685" w:rsidRDefault="4F2C0FBD" w:rsidP="4F2C0FBD">
      <w:pPr>
        <w:pStyle w:val="Primeirorecuodecorpodetexto"/>
        <w:numPr>
          <w:ilvl w:val="0"/>
          <w:numId w:val="15"/>
        </w:numPr>
        <w:spacing w:after="120"/>
        <w:ind w:left="1276" w:hanging="283"/>
        <w:rPr>
          <w:rFonts w:eastAsiaTheme="minorEastAsia"/>
          <w:sz w:val="24"/>
          <w:szCs w:val="24"/>
        </w:rPr>
      </w:pPr>
      <w:r w:rsidRPr="4F2C0FBD">
        <w:rPr>
          <w:rFonts w:eastAsiaTheme="minorEastAsia"/>
          <w:sz w:val="24"/>
          <w:szCs w:val="24"/>
        </w:rPr>
        <w:t>NetApp</w:t>
      </w:r>
    </w:p>
    <w:p w14:paraId="472B56B3"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As especificações técnicas utilizadas para tais determinações (Anexo C) foram definidas com base nas informações apresentadas do ambiente de armazenamento de dados deste Poder Judiciário, assim como requisitos de negócios da Coordenadoria de Tecnologia da Informação do TJMT.</w:t>
      </w:r>
    </w:p>
    <w:p w14:paraId="64A9F44E" w14:textId="24758127" w:rsidR="008472C0" w:rsidRPr="009B7685" w:rsidRDefault="4F2C0FBD" w:rsidP="4F2C0FBD">
      <w:pPr>
        <w:ind w:firstLine="709"/>
        <w:jc w:val="both"/>
        <w:rPr>
          <w:rFonts w:eastAsiaTheme="minorEastAsia"/>
          <w:strike/>
          <w:color w:val="FF0000"/>
          <w:sz w:val="24"/>
          <w:szCs w:val="24"/>
        </w:rPr>
      </w:pPr>
      <w:r w:rsidRPr="4F2C0FBD">
        <w:rPr>
          <w:rFonts w:eastAsiaTheme="minorEastAsia"/>
          <w:sz w:val="24"/>
          <w:szCs w:val="24"/>
        </w:rPr>
        <w:t>Essas informações nos apoiam na escolha de que a solução mais adequada é Aquisição de Storage, “</w:t>
      </w:r>
      <w:r w:rsidRPr="4F2C0FBD">
        <w:rPr>
          <w:rFonts w:eastAsiaTheme="minorEastAsia"/>
          <w:i/>
          <w:iCs/>
          <w:sz w:val="24"/>
          <w:szCs w:val="24"/>
        </w:rPr>
        <w:t>on-premisse</w:t>
      </w:r>
      <w:r w:rsidRPr="4F2C0FBD">
        <w:rPr>
          <w:rFonts w:eastAsiaTheme="minorEastAsia"/>
          <w:sz w:val="24"/>
          <w:szCs w:val="24"/>
        </w:rPr>
        <w:t>”,</w:t>
      </w:r>
      <w:r w:rsidR="00F37E9C">
        <w:rPr>
          <w:rFonts w:eastAsiaTheme="minorEastAsia"/>
          <w:sz w:val="24"/>
          <w:szCs w:val="24"/>
        </w:rPr>
        <w:t xml:space="preserve"> com suporte técnico e garantia e</w:t>
      </w:r>
      <w:r w:rsidRPr="4F2C0FBD">
        <w:rPr>
          <w:rFonts w:eastAsiaTheme="minorEastAsia"/>
          <w:sz w:val="24"/>
          <w:szCs w:val="24"/>
        </w:rPr>
        <w:t xml:space="preserve"> capacitação de servidores. </w:t>
      </w:r>
    </w:p>
    <w:p w14:paraId="670E4806" w14:textId="77777777" w:rsidR="008472C0" w:rsidRPr="009B7685" w:rsidRDefault="4F2C0FBD" w:rsidP="4F2C0FBD">
      <w:pPr>
        <w:ind w:firstLine="709"/>
        <w:jc w:val="both"/>
        <w:rPr>
          <w:rFonts w:eastAsiaTheme="minorEastAsia"/>
          <w:b/>
          <w:bCs/>
          <w:color w:val="FF0000"/>
          <w:sz w:val="24"/>
          <w:szCs w:val="24"/>
        </w:rPr>
      </w:pPr>
      <w:r w:rsidRPr="4F2C0FBD">
        <w:rPr>
          <w:rFonts w:eastAsiaTheme="minorEastAsia"/>
          <w:sz w:val="24"/>
          <w:szCs w:val="24"/>
        </w:rPr>
        <w:t>Guias / Relatórios utilizados na tomada de decisão:</w:t>
      </w:r>
    </w:p>
    <w:p w14:paraId="29EDF967" w14:textId="77777777" w:rsidR="008472C0" w:rsidRPr="009B7685" w:rsidRDefault="4F2C0FBD" w:rsidP="4F2C0FBD">
      <w:pPr>
        <w:pStyle w:val="PargrafodaLista"/>
        <w:numPr>
          <w:ilvl w:val="0"/>
          <w:numId w:val="13"/>
        </w:numPr>
        <w:ind w:left="1276" w:hanging="283"/>
        <w:rPr>
          <w:rFonts w:eastAsiaTheme="minorEastAsia"/>
          <w:i/>
          <w:iCs/>
          <w:sz w:val="24"/>
          <w:szCs w:val="24"/>
        </w:rPr>
      </w:pPr>
      <w:r w:rsidRPr="4F2C0FBD">
        <w:rPr>
          <w:rFonts w:eastAsiaTheme="minorEastAsia"/>
          <w:i/>
          <w:iCs/>
          <w:sz w:val="24"/>
          <w:szCs w:val="24"/>
        </w:rPr>
        <w:t>2018 Strategic Roadmap for Storage</w:t>
      </w:r>
      <w:r w:rsidRPr="4F2C0FBD">
        <w:rPr>
          <w:rFonts w:eastAsiaTheme="minorEastAsia"/>
          <w:sz w:val="24"/>
          <w:szCs w:val="24"/>
        </w:rPr>
        <w:t xml:space="preserve"> | Fonte: Gartner |Publicado: 12 Março de 2018 | ID: G00350720;</w:t>
      </w:r>
    </w:p>
    <w:p w14:paraId="0A766070" w14:textId="77777777" w:rsidR="008472C0" w:rsidRPr="009B7685" w:rsidRDefault="4F2C0FBD" w:rsidP="4F2C0FBD">
      <w:pPr>
        <w:pStyle w:val="PargrafodaLista"/>
        <w:numPr>
          <w:ilvl w:val="0"/>
          <w:numId w:val="13"/>
        </w:numPr>
        <w:ind w:left="1276" w:hanging="283"/>
        <w:rPr>
          <w:rFonts w:eastAsiaTheme="minorEastAsia"/>
          <w:sz w:val="24"/>
          <w:szCs w:val="24"/>
        </w:rPr>
      </w:pPr>
      <w:r w:rsidRPr="4F2C0FBD">
        <w:rPr>
          <w:rFonts w:eastAsiaTheme="minorEastAsia"/>
          <w:i/>
          <w:iCs/>
          <w:sz w:val="24"/>
          <w:szCs w:val="24"/>
        </w:rPr>
        <w:t xml:space="preserve">Critical Capabilities for General-Purpose, High-End Storage Arrays </w:t>
      </w:r>
      <w:r w:rsidRPr="4F2C0FBD">
        <w:rPr>
          <w:rFonts w:eastAsiaTheme="minorEastAsia"/>
          <w:sz w:val="24"/>
          <w:szCs w:val="24"/>
        </w:rPr>
        <w:t>| Publicado: 31 de outubro de 2017 | ID: G00321059;</w:t>
      </w:r>
    </w:p>
    <w:p w14:paraId="7A5E5ABD" w14:textId="77777777" w:rsidR="008472C0" w:rsidRPr="009B7685" w:rsidRDefault="4F2C0FBD" w:rsidP="4F2C0FBD">
      <w:pPr>
        <w:pStyle w:val="PargrafodaLista"/>
        <w:numPr>
          <w:ilvl w:val="0"/>
          <w:numId w:val="13"/>
        </w:numPr>
        <w:ind w:left="1276" w:hanging="283"/>
        <w:rPr>
          <w:rFonts w:eastAsiaTheme="minorEastAsia"/>
          <w:i/>
          <w:iCs/>
          <w:sz w:val="24"/>
          <w:szCs w:val="24"/>
        </w:rPr>
      </w:pPr>
      <w:r w:rsidRPr="4F2C0FBD">
        <w:rPr>
          <w:rFonts w:eastAsiaTheme="minorEastAsia"/>
          <w:i/>
          <w:iCs/>
          <w:sz w:val="24"/>
          <w:szCs w:val="24"/>
        </w:rPr>
        <w:t>Dossier File Characterization Report</w:t>
      </w:r>
      <w:r w:rsidRPr="4F2C0FBD">
        <w:rPr>
          <w:rFonts w:eastAsiaTheme="minorEastAsia"/>
          <w:sz w:val="24"/>
          <w:szCs w:val="24"/>
        </w:rPr>
        <w:t xml:space="preserve"> | Fonte: Live Optics / Dell EMC | Data do Relatório: 23 de julho de 2018;</w:t>
      </w:r>
    </w:p>
    <w:p w14:paraId="10CBEB64" w14:textId="77777777" w:rsidR="008472C0" w:rsidRPr="009B7685" w:rsidRDefault="008472C0" w:rsidP="4F2C0FBD">
      <w:pPr>
        <w:pStyle w:val="PargrafodaLista"/>
        <w:numPr>
          <w:ilvl w:val="0"/>
          <w:numId w:val="13"/>
        </w:numPr>
        <w:ind w:left="1276" w:hanging="283"/>
        <w:rPr>
          <w:rFonts w:eastAsiaTheme="minorEastAsia"/>
          <w:i/>
          <w:iCs/>
          <w:sz w:val="24"/>
          <w:szCs w:val="24"/>
        </w:rPr>
      </w:pPr>
      <w:r w:rsidRPr="4F2C0FBD">
        <w:rPr>
          <w:rFonts w:eastAsiaTheme="minorEastAsia"/>
          <w:sz w:val="24"/>
          <w:szCs w:val="24"/>
        </w:rPr>
        <w:t>Relatório de Utilização dos Storages VSP G1000 | Fonte: Hitachi Data Systems | Data do Relatório: 29 de junho de 2018</w:t>
      </w:r>
      <w:bookmarkStart w:id="36" w:name="_Ref489283280"/>
      <w:r w:rsidRPr="4F2C0FBD">
        <w:rPr>
          <w:rFonts w:eastAsiaTheme="minorEastAsia"/>
          <w:sz w:val="24"/>
          <w:szCs w:val="24"/>
        </w:rPr>
        <w:t>;</w:t>
      </w:r>
    </w:p>
    <w:p w14:paraId="7A121000" w14:textId="77777777" w:rsidR="008472C0" w:rsidRPr="009B7685" w:rsidRDefault="4F2C0FBD" w:rsidP="4F2C0FBD">
      <w:pPr>
        <w:pStyle w:val="PargrafodaLista"/>
        <w:numPr>
          <w:ilvl w:val="0"/>
          <w:numId w:val="13"/>
        </w:numPr>
        <w:ind w:left="1276" w:hanging="283"/>
        <w:rPr>
          <w:rFonts w:eastAsiaTheme="minorEastAsia"/>
          <w:i/>
          <w:iCs/>
          <w:sz w:val="24"/>
          <w:szCs w:val="24"/>
        </w:rPr>
      </w:pPr>
      <w:r w:rsidRPr="4F2C0FBD">
        <w:rPr>
          <w:rFonts w:eastAsiaTheme="minorEastAsia"/>
          <w:sz w:val="24"/>
          <w:szCs w:val="24"/>
        </w:rPr>
        <w:t xml:space="preserve">Relatório de Monitoria de dados dos servidores do PJe e </w:t>
      </w:r>
      <w:r w:rsidRPr="4F2C0FBD">
        <w:rPr>
          <w:rFonts w:eastAsiaTheme="minorEastAsia"/>
          <w:i/>
          <w:iCs/>
          <w:sz w:val="24"/>
          <w:szCs w:val="24"/>
        </w:rPr>
        <w:t>File Servers</w:t>
      </w:r>
      <w:r w:rsidRPr="4F2C0FBD">
        <w:rPr>
          <w:rFonts w:eastAsiaTheme="minorEastAsia"/>
          <w:sz w:val="24"/>
          <w:szCs w:val="24"/>
        </w:rPr>
        <w:t xml:space="preserve"> | Fonte: C.A. | Data do Relatório: 19/12/2018.</w:t>
      </w:r>
    </w:p>
    <w:p w14:paraId="21FCC471" w14:textId="77777777" w:rsidR="008472C0" w:rsidRPr="009B7685" w:rsidRDefault="008472C0" w:rsidP="4F2C0FBD">
      <w:pPr>
        <w:pStyle w:val="Ttulo2"/>
        <w:rPr>
          <w:rFonts w:asciiTheme="minorHAnsi" w:eastAsiaTheme="minorEastAsia" w:hAnsiTheme="minorHAnsi" w:cstheme="minorBidi"/>
        </w:rPr>
      </w:pPr>
      <w:bookmarkStart w:id="37" w:name="_Ref508198568"/>
      <w:bookmarkStart w:id="38" w:name="_Toc534884809"/>
      <w:r w:rsidRPr="4F2C0FBD">
        <w:rPr>
          <w:rFonts w:asciiTheme="minorHAnsi" w:eastAsiaTheme="minorEastAsia" w:hAnsiTheme="minorHAnsi" w:cstheme="minorBidi"/>
        </w:rPr>
        <w:t>Descrição da Solução (Art. 14, IV,a)</w:t>
      </w:r>
      <w:bookmarkEnd w:id="36"/>
      <w:bookmarkEnd w:id="37"/>
      <w:bookmarkEnd w:id="38"/>
    </w:p>
    <w:p w14:paraId="646190B6" w14:textId="4AE87767" w:rsidR="008472C0" w:rsidRPr="009B7685" w:rsidRDefault="4F2C0FBD" w:rsidP="008472C0">
      <w:pPr>
        <w:pStyle w:val="Primeirorecuodecorpodetexto"/>
        <w:spacing w:after="120"/>
        <w:ind w:firstLine="709"/>
        <w:rPr>
          <w:rFonts w:cstheme="minorHAnsi"/>
          <w:color w:val="FF0000"/>
          <w:sz w:val="24"/>
          <w:szCs w:val="24"/>
        </w:rPr>
      </w:pPr>
      <w:r w:rsidRPr="4F2C0FBD">
        <w:rPr>
          <w:rFonts w:eastAsiaTheme="minorEastAsia"/>
          <w:sz w:val="24"/>
          <w:szCs w:val="24"/>
        </w:rPr>
        <w:t xml:space="preserve">A solução escolhida, qual seja Aquisição de Storage com Suporte Técnico e Garantia, instalados e configurados, além da Capacitação Presencial de Servidores, visa atender a demanda de armazenamento de dados prevista para os próximos 36 (trinta e seis) meses, de forma a manter o pleno funcionamento das capacidades técnicas de armazenamento de dados deste PJMT. </w:t>
      </w:r>
    </w:p>
    <w:tbl>
      <w:tblPr>
        <w:tblW w:w="8647" w:type="dxa"/>
        <w:tblCellMar>
          <w:left w:w="70" w:type="dxa"/>
          <w:right w:w="70" w:type="dxa"/>
        </w:tblCellMar>
        <w:tblLook w:val="04A0" w:firstRow="1" w:lastRow="0" w:firstColumn="1" w:lastColumn="0" w:noHBand="0" w:noVBand="1"/>
      </w:tblPr>
      <w:tblGrid>
        <w:gridCol w:w="1270"/>
        <w:gridCol w:w="843"/>
        <w:gridCol w:w="3854"/>
        <w:gridCol w:w="1489"/>
        <w:gridCol w:w="1191"/>
      </w:tblGrid>
      <w:tr w:rsidR="004E5739" w:rsidRPr="002C23F1" w14:paraId="7AD5FD5A" w14:textId="77777777" w:rsidTr="00592BE7">
        <w:trPr>
          <w:trHeight w:val="300"/>
        </w:trPr>
        <w:tc>
          <w:tcPr>
            <w:tcW w:w="1270" w:type="dxa"/>
            <w:tcBorders>
              <w:top w:val="single" w:sz="4" w:space="0" w:color="auto"/>
              <w:bottom w:val="single" w:sz="4" w:space="0" w:color="000000"/>
              <w:right w:val="single" w:sz="4" w:space="0" w:color="auto"/>
            </w:tcBorders>
            <w:shd w:val="clear" w:color="000000" w:fill="9BC2E6"/>
            <w:noWrap/>
            <w:vAlign w:val="bottom"/>
            <w:hideMark/>
          </w:tcPr>
          <w:p w14:paraId="1770ABEB"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Lote</w:t>
            </w:r>
          </w:p>
        </w:tc>
        <w:tc>
          <w:tcPr>
            <w:tcW w:w="843" w:type="dxa"/>
            <w:tcBorders>
              <w:top w:val="single" w:sz="4" w:space="0" w:color="auto"/>
              <w:left w:val="nil"/>
              <w:bottom w:val="single" w:sz="4" w:space="0" w:color="auto"/>
              <w:right w:val="single" w:sz="4" w:space="0" w:color="auto"/>
            </w:tcBorders>
            <w:shd w:val="clear" w:color="000000" w:fill="9BC2E6"/>
            <w:noWrap/>
            <w:vAlign w:val="bottom"/>
            <w:hideMark/>
          </w:tcPr>
          <w:p w14:paraId="58800CFE"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Item</w:t>
            </w:r>
          </w:p>
        </w:tc>
        <w:tc>
          <w:tcPr>
            <w:tcW w:w="3854" w:type="dxa"/>
            <w:tcBorders>
              <w:top w:val="single" w:sz="4" w:space="0" w:color="auto"/>
              <w:left w:val="nil"/>
              <w:bottom w:val="single" w:sz="4" w:space="0" w:color="auto"/>
              <w:right w:val="single" w:sz="4" w:space="0" w:color="auto"/>
            </w:tcBorders>
            <w:shd w:val="clear" w:color="000000" w:fill="9BC2E6"/>
            <w:noWrap/>
            <w:vAlign w:val="bottom"/>
            <w:hideMark/>
          </w:tcPr>
          <w:p w14:paraId="437F5613"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Descrição</w:t>
            </w:r>
          </w:p>
        </w:tc>
        <w:tc>
          <w:tcPr>
            <w:tcW w:w="1489" w:type="dxa"/>
            <w:tcBorders>
              <w:top w:val="single" w:sz="4" w:space="0" w:color="auto"/>
              <w:left w:val="nil"/>
              <w:bottom w:val="single" w:sz="4" w:space="0" w:color="auto"/>
              <w:right w:val="single" w:sz="4" w:space="0" w:color="auto"/>
            </w:tcBorders>
            <w:shd w:val="clear" w:color="000000" w:fill="9BC2E6"/>
            <w:noWrap/>
            <w:vAlign w:val="bottom"/>
            <w:hideMark/>
          </w:tcPr>
          <w:p w14:paraId="0715DCAA"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Tipo</w:t>
            </w:r>
          </w:p>
        </w:tc>
        <w:tc>
          <w:tcPr>
            <w:tcW w:w="1191" w:type="dxa"/>
            <w:tcBorders>
              <w:top w:val="single" w:sz="4" w:space="0" w:color="auto"/>
              <w:left w:val="nil"/>
              <w:bottom w:val="single" w:sz="4" w:space="0" w:color="auto"/>
            </w:tcBorders>
            <w:shd w:val="clear" w:color="000000" w:fill="9BC2E6"/>
            <w:vAlign w:val="bottom"/>
          </w:tcPr>
          <w:p w14:paraId="6CBF1D5A"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Qtde</w:t>
            </w:r>
          </w:p>
        </w:tc>
      </w:tr>
      <w:tr w:rsidR="004E5739" w:rsidRPr="002C23F1" w14:paraId="6B185493" w14:textId="77777777" w:rsidTr="00592BE7">
        <w:trPr>
          <w:trHeight w:val="1110"/>
        </w:trPr>
        <w:tc>
          <w:tcPr>
            <w:tcW w:w="1270" w:type="dxa"/>
            <w:vMerge w:val="restart"/>
            <w:tcBorders>
              <w:top w:val="single" w:sz="4" w:space="0" w:color="auto"/>
              <w:bottom w:val="single" w:sz="4" w:space="0" w:color="000000"/>
              <w:right w:val="single" w:sz="4" w:space="0" w:color="auto"/>
            </w:tcBorders>
            <w:shd w:val="clear" w:color="auto" w:fill="auto"/>
            <w:vAlign w:val="center"/>
            <w:hideMark/>
          </w:tcPr>
          <w:p w14:paraId="7E65690B" w14:textId="77777777" w:rsidR="004E5739" w:rsidRPr="002C23F1" w:rsidRDefault="004E5739" w:rsidP="00BA2D18">
            <w:pPr>
              <w:spacing w:line="240" w:lineRule="auto"/>
              <w:jc w:val="center"/>
              <w:rPr>
                <w:rFonts w:ascii="Times New Roman" w:eastAsia="Times New Roman" w:hAnsi="Times New Roman" w:cs="Times New Roman"/>
                <w:b/>
                <w:bCs/>
              </w:rPr>
            </w:pPr>
            <w:r w:rsidRPr="002C23F1">
              <w:rPr>
                <w:rFonts w:ascii="Times New Roman" w:eastAsia="Times New Roman" w:hAnsi="Times New Roman" w:cs="Times New Roman"/>
                <w:b/>
                <w:bCs/>
              </w:rPr>
              <w:t xml:space="preserve">LOTE ÚNICO </w:t>
            </w:r>
          </w:p>
        </w:tc>
        <w:tc>
          <w:tcPr>
            <w:tcW w:w="843" w:type="dxa"/>
            <w:tcBorders>
              <w:top w:val="nil"/>
              <w:left w:val="nil"/>
              <w:bottom w:val="single" w:sz="4" w:space="0" w:color="auto"/>
              <w:right w:val="single" w:sz="4" w:space="0" w:color="auto"/>
            </w:tcBorders>
            <w:shd w:val="clear" w:color="auto" w:fill="auto"/>
            <w:vAlign w:val="center"/>
            <w:hideMark/>
          </w:tcPr>
          <w:p w14:paraId="137BB4DF"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1</w:t>
            </w:r>
          </w:p>
        </w:tc>
        <w:tc>
          <w:tcPr>
            <w:tcW w:w="3854" w:type="dxa"/>
            <w:tcBorders>
              <w:top w:val="nil"/>
              <w:left w:val="nil"/>
              <w:bottom w:val="single" w:sz="4" w:space="0" w:color="auto"/>
              <w:right w:val="single" w:sz="4" w:space="0" w:color="auto"/>
            </w:tcBorders>
            <w:shd w:val="clear" w:color="auto" w:fill="auto"/>
            <w:vAlign w:val="center"/>
            <w:hideMark/>
          </w:tcPr>
          <w:p w14:paraId="0BD69BD1" w14:textId="77777777" w:rsidR="004E5739" w:rsidRPr="002C23F1" w:rsidRDefault="004E5739" w:rsidP="00BA2D18">
            <w:pPr>
              <w:spacing w:line="240" w:lineRule="auto"/>
              <w:rPr>
                <w:rFonts w:ascii="Times New Roman" w:eastAsia="Times New Roman" w:hAnsi="Times New Roman" w:cs="Times New Roman"/>
              </w:rPr>
            </w:pPr>
            <w:r w:rsidRPr="002C23F1">
              <w:rPr>
                <w:rFonts w:ascii="Times New Roman" w:hAnsi="Times New Roman" w:cs="Times New Roman"/>
                <w:sz w:val="24"/>
                <w:szCs w:val="24"/>
              </w:rPr>
              <w:t>Solução de armazenamento de dados modular, escalável, instalada e configurada, conforme detalhamento técnico.</w:t>
            </w:r>
          </w:p>
        </w:tc>
        <w:tc>
          <w:tcPr>
            <w:tcW w:w="1489" w:type="dxa"/>
            <w:tcBorders>
              <w:top w:val="nil"/>
              <w:left w:val="nil"/>
              <w:bottom w:val="single" w:sz="4" w:space="0" w:color="auto"/>
              <w:right w:val="single" w:sz="4" w:space="0" w:color="auto"/>
            </w:tcBorders>
            <w:shd w:val="clear" w:color="auto" w:fill="auto"/>
            <w:noWrap/>
            <w:vAlign w:val="center"/>
            <w:hideMark/>
          </w:tcPr>
          <w:p w14:paraId="43245B5F"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Hardware</w:t>
            </w:r>
            <w:r>
              <w:rPr>
                <w:rFonts w:ascii="Times New Roman" w:eastAsia="Times New Roman" w:hAnsi="Times New Roman" w:cs="Times New Roman"/>
              </w:rPr>
              <w:t xml:space="preserve"> / Serviço</w:t>
            </w:r>
          </w:p>
        </w:tc>
        <w:tc>
          <w:tcPr>
            <w:tcW w:w="1191" w:type="dxa"/>
            <w:tcBorders>
              <w:top w:val="single" w:sz="4" w:space="0" w:color="auto"/>
              <w:left w:val="nil"/>
              <w:bottom w:val="single" w:sz="4" w:space="0" w:color="auto"/>
            </w:tcBorders>
            <w:vAlign w:val="center"/>
          </w:tcPr>
          <w:p w14:paraId="64D21910"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2</w:t>
            </w:r>
          </w:p>
        </w:tc>
      </w:tr>
      <w:tr w:rsidR="004E5739" w:rsidRPr="002C23F1" w14:paraId="004A13C6" w14:textId="77777777" w:rsidTr="00592BE7">
        <w:trPr>
          <w:trHeight w:val="543"/>
        </w:trPr>
        <w:tc>
          <w:tcPr>
            <w:tcW w:w="1270" w:type="dxa"/>
            <w:vMerge/>
            <w:tcBorders>
              <w:top w:val="single" w:sz="4" w:space="0" w:color="auto"/>
              <w:bottom w:val="single" w:sz="4" w:space="0" w:color="000000"/>
              <w:right w:val="single" w:sz="4" w:space="0" w:color="auto"/>
            </w:tcBorders>
            <w:vAlign w:val="center"/>
          </w:tcPr>
          <w:p w14:paraId="1F717C79" w14:textId="77777777" w:rsidR="004E5739" w:rsidRPr="002C23F1" w:rsidRDefault="004E5739" w:rsidP="00BA2D18">
            <w:pPr>
              <w:spacing w:line="240" w:lineRule="auto"/>
              <w:rPr>
                <w:rFonts w:ascii="Times New Roman" w:eastAsia="Times New Roman" w:hAnsi="Times New Roman" w:cs="Times New Roman"/>
                <w:b/>
                <w:bCs/>
              </w:rPr>
            </w:pPr>
          </w:p>
        </w:tc>
        <w:tc>
          <w:tcPr>
            <w:tcW w:w="843" w:type="dxa"/>
            <w:tcBorders>
              <w:top w:val="nil"/>
              <w:left w:val="nil"/>
              <w:bottom w:val="single" w:sz="4" w:space="0" w:color="auto"/>
              <w:right w:val="single" w:sz="4" w:space="0" w:color="auto"/>
            </w:tcBorders>
            <w:shd w:val="clear" w:color="auto" w:fill="auto"/>
            <w:vAlign w:val="center"/>
          </w:tcPr>
          <w:p w14:paraId="5FC0E52D"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2</w:t>
            </w:r>
          </w:p>
        </w:tc>
        <w:tc>
          <w:tcPr>
            <w:tcW w:w="3854" w:type="dxa"/>
            <w:tcBorders>
              <w:top w:val="nil"/>
              <w:left w:val="nil"/>
              <w:bottom w:val="single" w:sz="4" w:space="0" w:color="auto"/>
              <w:right w:val="single" w:sz="4" w:space="0" w:color="auto"/>
            </w:tcBorders>
            <w:shd w:val="clear" w:color="auto" w:fill="auto"/>
            <w:vAlign w:val="center"/>
          </w:tcPr>
          <w:p w14:paraId="0624EA89" w14:textId="77777777" w:rsidR="004E5739" w:rsidRPr="002C23F1" w:rsidRDefault="004E5739" w:rsidP="00BA2D18">
            <w:pPr>
              <w:spacing w:line="240" w:lineRule="auto"/>
              <w:rPr>
                <w:rFonts w:ascii="Times New Roman" w:hAnsi="Times New Roman" w:cs="Times New Roman"/>
                <w:sz w:val="24"/>
                <w:szCs w:val="24"/>
              </w:rPr>
            </w:pPr>
            <w:r w:rsidRPr="002C23F1">
              <w:rPr>
                <w:rFonts w:ascii="Times New Roman" w:hAnsi="Times New Roman" w:cs="Times New Roman"/>
                <w:sz w:val="24"/>
                <w:szCs w:val="24"/>
              </w:rPr>
              <w:t>Expansão de capacidade de armazenamento, conforme detalhamento técnico.</w:t>
            </w:r>
          </w:p>
        </w:tc>
        <w:tc>
          <w:tcPr>
            <w:tcW w:w="1489" w:type="dxa"/>
            <w:tcBorders>
              <w:top w:val="nil"/>
              <w:left w:val="nil"/>
              <w:bottom w:val="single" w:sz="4" w:space="0" w:color="auto"/>
              <w:right w:val="single" w:sz="4" w:space="0" w:color="auto"/>
            </w:tcBorders>
            <w:shd w:val="clear" w:color="auto" w:fill="auto"/>
            <w:noWrap/>
            <w:vAlign w:val="center"/>
          </w:tcPr>
          <w:p w14:paraId="51462E8F"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Hardware</w:t>
            </w:r>
            <w:r>
              <w:rPr>
                <w:rFonts w:ascii="Times New Roman" w:eastAsia="Times New Roman" w:hAnsi="Times New Roman" w:cs="Times New Roman"/>
              </w:rPr>
              <w:t xml:space="preserve"> / Serviço</w:t>
            </w:r>
          </w:p>
        </w:tc>
        <w:tc>
          <w:tcPr>
            <w:tcW w:w="1191" w:type="dxa"/>
            <w:tcBorders>
              <w:top w:val="single" w:sz="4" w:space="0" w:color="auto"/>
              <w:left w:val="nil"/>
              <w:bottom w:val="single" w:sz="4" w:space="0" w:color="auto"/>
            </w:tcBorders>
            <w:vAlign w:val="center"/>
          </w:tcPr>
          <w:p w14:paraId="0C7504E9"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2</w:t>
            </w:r>
          </w:p>
        </w:tc>
      </w:tr>
      <w:tr w:rsidR="004E5739" w:rsidRPr="002C23F1" w14:paraId="0CE7A79B" w14:textId="77777777" w:rsidTr="00592BE7">
        <w:trPr>
          <w:trHeight w:val="543"/>
        </w:trPr>
        <w:tc>
          <w:tcPr>
            <w:tcW w:w="1270" w:type="dxa"/>
            <w:vMerge/>
            <w:tcBorders>
              <w:top w:val="single" w:sz="4" w:space="0" w:color="auto"/>
              <w:bottom w:val="single" w:sz="4" w:space="0" w:color="000000"/>
              <w:right w:val="single" w:sz="4" w:space="0" w:color="auto"/>
            </w:tcBorders>
            <w:vAlign w:val="center"/>
            <w:hideMark/>
          </w:tcPr>
          <w:p w14:paraId="34E53E17" w14:textId="77777777" w:rsidR="004E5739" w:rsidRPr="002C23F1" w:rsidRDefault="004E5739" w:rsidP="00BA2D18">
            <w:pPr>
              <w:spacing w:line="240" w:lineRule="auto"/>
              <w:rPr>
                <w:rFonts w:ascii="Times New Roman" w:eastAsia="Times New Roman" w:hAnsi="Times New Roman" w:cs="Times New Roman"/>
                <w:b/>
                <w:bCs/>
              </w:rPr>
            </w:pPr>
          </w:p>
        </w:tc>
        <w:tc>
          <w:tcPr>
            <w:tcW w:w="843" w:type="dxa"/>
            <w:tcBorders>
              <w:top w:val="nil"/>
              <w:left w:val="nil"/>
              <w:bottom w:val="single" w:sz="4" w:space="0" w:color="auto"/>
              <w:right w:val="single" w:sz="4" w:space="0" w:color="auto"/>
            </w:tcBorders>
            <w:shd w:val="clear" w:color="auto" w:fill="auto"/>
            <w:vAlign w:val="center"/>
            <w:hideMark/>
          </w:tcPr>
          <w:p w14:paraId="598BC3CF"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3</w:t>
            </w:r>
          </w:p>
        </w:tc>
        <w:tc>
          <w:tcPr>
            <w:tcW w:w="3854" w:type="dxa"/>
            <w:tcBorders>
              <w:top w:val="nil"/>
              <w:left w:val="nil"/>
              <w:bottom w:val="single" w:sz="4" w:space="0" w:color="auto"/>
              <w:right w:val="single" w:sz="4" w:space="0" w:color="auto"/>
            </w:tcBorders>
            <w:shd w:val="clear" w:color="auto" w:fill="auto"/>
            <w:vAlign w:val="center"/>
            <w:hideMark/>
          </w:tcPr>
          <w:p w14:paraId="61E3C10D" w14:textId="77777777" w:rsidR="004E5739" w:rsidRPr="002C23F1" w:rsidRDefault="004E5739" w:rsidP="00BA2D18">
            <w:pPr>
              <w:spacing w:line="240" w:lineRule="auto"/>
              <w:rPr>
                <w:rFonts w:ascii="Times New Roman" w:eastAsia="Times New Roman" w:hAnsi="Times New Roman" w:cs="Times New Roman"/>
              </w:rPr>
            </w:pPr>
            <w:r w:rsidRPr="002C23F1">
              <w:rPr>
                <w:rFonts w:ascii="Times New Roman" w:hAnsi="Times New Roman" w:cs="Times New Roman"/>
                <w:sz w:val="24"/>
                <w:szCs w:val="24"/>
              </w:rPr>
              <w:t>Expansão de capacidade de armazenamento, conforme detalhamento técnico.</w:t>
            </w:r>
          </w:p>
        </w:tc>
        <w:tc>
          <w:tcPr>
            <w:tcW w:w="1489" w:type="dxa"/>
            <w:tcBorders>
              <w:top w:val="nil"/>
              <w:left w:val="nil"/>
              <w:bottom w:val="single" w:sz="4" w:space="0" w:color="auto"/>
              <w:right w:val="single" w:sz="4" w:space="0" w:color="auto"/>
            </w:tcBorders>
            <w:shd w:val="clear" w:color="auto" w:fill="auto"/>
            <w:noWrap/>
            <w:vAlign w:val="center"/>
            <w:hideMark/>
          </w:tcPr>
          <w:p w14:paraId="7971FC4A"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Hardware</w:t>
            </w:r>
            <w:r>
              <w:rPr>
                <w:rFonts w:ascii="Times New Roman" w:eastAsia="Times New Roman" w:hAnsi="Times New Roman" w:cs="Times New Roman"/>
              </w:rPr>
              <w:t xml:space="preserve"> / Serviço</w:t>
            </w:r>
          </w:p>
        </w:tc>
        <w:tc>
          <w:tcPr>
            <w:tcW w:w="1191" w:type="dxa"/>
            <w:tcBorders>
              <w:top w:val="single" w:sz="4" w:space="0" w:color="auto"/>
              <w:left w:val="nil"/>
              <w:bottom w:val="single" w:sz="4" w:space="0" w:color="auto"/>
            </w:tcBorders>
            <w:vAlign w:val="center"/>
          </w:tcPr>
          <w:p w14:paraId="24E8AAA8"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2</w:t>
            </w:r>
          </w:p>
        </w:tc>
      </w:tr>
      <w:tr w:rsidR="004E5739" w:rsidRPr="002C23F1" w14:paraId="598B7150" w14:textId="77777777" w:rsidTr="002F6C19">
        <w:trPr>
          <w:trHeight w:val="543"/>
        </w:trPr>
        <w:tc>
          <w:tcPr>
            <w:tcW w:w="1270" w:type="dxa"/>
            <w:vMerge/>
            <w:tcBorders>
              <w:top w:val="single" w:sz="4" w:space="0" w:color="auto"/>
              <w:bottom w:val="single" w:sz="4" w:space="0" w:color="auto"/>
              <w:right w:val="single" w:sz="4" w:space="0" w:color="auto"/>
            </w:tcBorders>
            <w:vAlign w:val="center"/>
          </w:tcPr>
          <w:p w14:paraId="2E159E1B" w14:textId="77777777" w:rsidR="004E5739" w:rsidRPr="002C23F1" w:rsidRDefault="004E5739" w:rsidP="00BA2D18">
            <w:pPr>
              <w:spacing w:line="240" w:lineRule="auto"/>
              <w:rPr>
                <w:rFonts w:ascii="Times New Roman" w:eastAsia="Times New Roman" w:hAnsi="Times New Roman" w:cs="Times New Roman"/>
                <w:b/>
                <w:bCs/>
              </w:rPr>
            </w:pPr>
          </w:p>
        </w:tc>
        <w:tc>
          <w:tcPr>
            <w:tcW w:w="843" w:type="dxa"/>
            <w:tcBorders>
              <w:top w:val="nil"/>
              <w:left w:val="nil"/>
              <w:bottom w:val="single" w:sz="4" w:space="0" w:color="auto"/>
              <w:right w:val="single" w:sz="4" w:space="0" w:color="auto"/>
            </w:tcBorders>
            <w:shd w:val="clear" w:color="auto" w:fill="auto"/>
            <w:vAlign w:val="center"/>
          </w:tcPr>
          <w:p w14:paraId="0E5F3F83"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4</w:t>
            </w:r>
          </w:p>
        </w:tc>
        <w:tc>
          <w:tcPr>
            <w:tcW w:w="3854" w:type="dxa"/>
            <w:tcBorders>
              <w:top w:val="nil"/>
              <w:left w:val="nil"/>
              <w:bottom w:val="single" w:sz="4" w:space="0" w:color="auto"/>
              <w:right w:val="single" w:sz="4" w:space="0" w:color="auto"/>
            </w:tcBorders>
            <w:shd w:val="clear" w:color="auto" w:fill="auto"/>
            <w:vAlign w:val="center"/>
          </w:tcPr>
          <w:p w14:paraId="771445ED" w14:textId="77777777" w:rsidR="004E5739" w:rsidRPr="002C23F1" w:rsidRDefault="004E5739" w:rsidP="00BA2D18">
            <w:pPr>
              <w:spacing w:line="240" w:lineRule="auto"/>
              <w:rPr>
                <w:rFonts w:ascii="Times New Roman" w:hAnsi="Times New Roman" w:cs="Times New Roman"/>
                <w:sz w:val="24"/>
                <w:szCs w:val="24"/>
              </w:rPr>
            </w:pPr>
            <w:r w:rsidRPr="002C23F1">
              <w:rPr>
                <w:rFonts w:ascii="Times New Roman" w:hAnsi="Times New Roman" w:cs="Times New Roman"/>
                <w:sz w:val="24"/>
                <w:szCs w:val="24"/>
              </w:rPr>
              <w:t>Capacitação</w:t>
            </w:r>
          </w:p>
        </w:tc>
        <w:tc>
          <w:tcPr>
            <w:tcW w:w="1489" w:type="dxa"/>
            <w:tcBorders>
              <w:top w:val="nil"/>
              <w:left w:val="nil"/>
              <w:bottom w:val="single" w:sz="4" w:space="0" w:color="auto"/>
              <w:right w:val="single" w:sz="4" w:space="0" w:color="auto"/>
            </w:tcBorders>
            <w:shd w:val="clear" w:color="auto" w:fill="auto"/>
            <w:noWrap/>
            <w:vAlign w:val="center"/>
          </w:tcPr>
          <w:p w14:paraId="5FCB7DEC" w14:textId="77777777" w:rsidR="004E5739" w:rsidRPr="002C23F1" w:rsidRDefault="004E5739" w:rsidP="00BA2D18">
            <w:pPr>
              <w:spacing w:line="240" w:lineRule="auto"/>
              <w:jc w:val="center"/>
              <w:rPr>
                <w:rFonts w:ascii="Times New Roman" w:eastAsia="Times New Roman" w:hAnsi="Times New Roman" w:cs="Times New Roman"/>
              </w:rPr>
            </w:pPr>
            <w:r w:rsidRPr="002C23F1">
              <w:rPr>
                <w:rFonts w:ascii="Times New Roman" w:eastAsia="Times New Roman" w:hAnsi="Times New Roman" w:cs="Times New Roman"/>
              </w:rPr>
              <w:t>Pessoas</w:t>
            </w:r>
          </w:p>
        </w:tc>
        <w:tc>
          <w:tcPr>
            <w:tcW w:w="1191" w:type="dxa"/>
            <w:tcBorders>
              <w:top w:val="single" w:sz="4" w:space="0" w:color="auto"/>
              <w:left w:val="nil"/>
              <w:bottom w:val="single" w:sz="4" w:space="0" w:color="auto"/>
            </w:tcBorders>
            <w:vAlign w:val="center"/>
          </w:tcPr>
          <w:p w14:paraId="1CAAA512" w14:textId="77777777" w:rsidR="004E5739" w:rsidRPr="002C23F1" w:rsidRDefault="004E5739" w:rsidP="00BA2D18">
            <w:pPr>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r>
    </w:tbl>
    <w:p w14:paraId="2F1018D9" w14:textId="77777777" w:rsidR="008472C0" w:rsidRPr="009B7685" w:rsidRDefault="4F2C0FBD" w:rsidP="4F2C0FBD">
      <w:pPr>
        <w:jc w:val="center"/>
        <w:rPr>
          <w:rFonts w:eastAsiaTheme="minorEastAsia"/>
          <w:b/>
          <w:bCs/>
          <w:color w:val="4F81BD" w:themeColor="accent1"/>
          <w:sz w:val="18"/>
          <w:szCs w:val="18"/>
        </w:rPr>
      </w:pPr>
      <w:r w:rsidRPr="4F2C0FBD">
        <w:rPr>
          <w:rFonts w:eastAsiaTheme="minorEastAsia"/>
          <w:b/>
          <w:bCs/>
          <w:color w:val="4F81BD" w:themeColor="accent1"/>
          <w:sz w:val="18"/>
          <w:szCs w:val="18"/>
        </w:rPr>
        <w:t>Tabela 3 – Detalhamento técnico da demanda</w:t>
      </w:r>
    </w:p>
    <w:p w14:paraId="17960032" w14:textId="77777777" w:rsidR="008472C0" w:rsidRPr="009B7685" w:rsidRDefault="008472C0" w:rsidP="008472C0">
      <w:pPr>
        <w:jc w:val="center"/>
        <w:rPr>
          <w:rFonts w:cstheme="minorHAnsi"/>
          <w:sz w:val="24"/>
          <w:szCs w:val="24"/>
        </w:rPr>
      </w:pPr>
    </w:p>
    <w:p w14:paraId="70923CF4" w14:textId="77777777" w:rsidR="008472C0" w:rsidRPr="009B7685" w:rsidRDefault="4F2C0FBD" w:rsidP="4F2C0FBD">
      <w:pPr>
        <w:pStyle w:val="Primeirorecuodecorpodetexto"/>
        <w:spacing w:after="120"/>
        <w:ind w:firstLine="709"/>
        <w:rPr>
          <w:rFonts w:eastAsiaTheme="minorEastAsia"/>
          <w:b/>
          <w:bCs/>
          <w:color w:val="FF0000"/>
          <w:sz w:val="24"/>
          <w:szCs w:val="24"/>
        </w:rPr>
      </w:pPr>
      <w:r w:rsidRPr="4F2C0FBD">
        <w:rPr>
          <w:rFonts w:eastAsiaTheme="minorEastAsia"/>
          <w:b/>
          <w:bCs/>
          <w:sz w:val="24"/>
          <w:szCs w:val="24"/>
        </w:rPr>
        <w:t xml:space="preserve">ITEM 1 </w:t>
      </w:r>
    </w:p>
    <w:p w14:paraId="35393EB9" w14:textId="161C78C8" w:rsidR="008472C0" w:rsidRPr="009B7685" w:rsidRDefault="004E5739" w:rsidP="4F2C0FBD">
      <w:pPr>
        <w:pStyle w:val="Primeirorecuodecorpodetexto"/>
        <w:spacing w:after="120"/>
        <w:ind w:firstLine="709"/>
        <w:rPr>
          <w:rFonts w:eastAsiaTheme="minorEastAsia"/>
          <w:sz w:val="24"/>
          <w:szCs w:val="24"/>
        </w:rPr>
      </w:pPr>
      <w:r w:rsidRPr="004E5739">
        <w:rPr>
          <w:rFonts w:eastAsiaTheme="minorEastAsia"/>
          <w:sz w:val="24"/>
          <w:szCs w:val="24"/>
        </w:rPr>
        <w:t xml:space="preserve">Aquisição, instalação </w:t>
      </w:r>
      <w:r w:rsidR="00500085">
        <w:rPr>
          <w:rFonts w:eastAsiaTheme="minorEastAsia"/>
          <w:sz w:val="24"/>
          <w:szCs w:val="24"/>
        </w:rPr>
        <w:t xml:space="preserve">(incluindo processo de </w:t>
      </w:r>
      <w:r w:rsidR="00500085">
        <w:rPr>
          <w:rFonts w:eastAsiaTheme="minorEastAsia"/>
          <w:i/>
          <w:sz w:val="24"/>
          <w:szCs w:val="24"/>
        </w:rPr>
        <w:t xml:space="preserve">moving </w:t>
      </w:r>
      <w:r w:rsidR="00500085">
        <w:rPr>
          <w:rFonts w:eastAsiaTheme="minorEastAsia"/>
          <w:sz w:val="24"/>
          <w:szCs w:val="24"/>
        </w:rPr>
        <w:t xml:space="preserve">de Storages VSP e AMS 1000, conforme anexo B) </w:t>
      </w:r>
      <w:r w:rsidRPr="004E5739">
        <w:rPr>
          <w:rFonts w:eastAsiaTheme="minorEastAsia"/>
          <w:sz w:val="24"/>
          <w:szCs w:val="24"/>
        </w:rPr>
        <w:t>e configuração de 2 (duas) soluções de armazenamento de dados modular, com capacidade mínima de 1 PB (um Petabyte), escaláveis, cada uma com Rack de 19’’ da própria fabricante. Uma unidade deverá ser instalada no Datacenter do Fórum da Capital e outra no Datacenter do Tribunal de Justiça de Mato Grosso, com serviço de suporte técnico e garantia pelo período de 36 (trinta e seis) meses.</w:t>
      </w:r>
    </w:p>
    <w:p w14:paraId="70281034" w14:textId="77777777" w:rsidR="008472C0" w:rsidRPr="009B7685" w:rsidRDefault="4F2C0FBD" w:rsidP="4F2C0FBD">
      <w:pPr>
        <w:pStyle w:val="Primeirorecuodecorpodetexto"/>
        <w:spacing w:after="120"/>
        <w:ind w:firstLine="709"/>
        <w:rPr>
          <w:rFonts w:eastAsiaTheme="minorEastAsia"/>
          <w:b/>
          <w:bCs/>
          <w:sz w:val="24"/>
          <w:szCs w:val="24"/>
        </w:rPr>
      </w:pPr>
      <w:r w:rsidRPr="4F2C0FBD">
        <w:rPr>
          <w:rFonts w:eastAsiaTheme="minorEastAsia"/>
          <w:b/>
          <w:bCs/>
          <w:sz w:val="24"/>
          <w:szCs w:val="24"/>
        </w:rPr>
        <w:t>ITEM 2</w:t>
      </w:r>
    </w:p>
    <w:p w14:paraId="43193322" w14:textId="78F4EAFB" w:rsidR="004E5739" w:rsidRPr="004E5739" w:rsidRDefault="004E5739" w:rsidP="004E5739">
      <w:pPr>
        <w:pStyle w:val="Primeirorecuodecorpodetexto"/>
        <w:spacing w:after="120"/>
        <w:ind w:firstLine="709"/>
        <w:rPr>
          <w:rFonts w:eastAsiaTheme="minorEastAsia"/>
          <w:sz w:val="24"/>
          <w:szCs w:val="24"/>
        </w:rPr>
      </w:pPr>
      <w:r w:rsidRPr="004E5739">
        <w:rPr>
          <w:rFonts w:eastAsiaTheme="minorEastAsia"/>
          <w:sz w:val="24"/>
          <w:szCs w:val="24"/>
        </w:rPr>
        <w:t xml:space="preserve">Duas unidades de expansão da capacidade de armazenamento de dados da solução do Item 1, com volume mínimo de 512 TB (quinhentos e doze Terabytes), com suporte técnico e garantia </w:t>
      </w:r>
      <w:r w:rsidR="008E736D">
        <w:rPr>
          <w:rFonts w:eastAsiaTheme="minorEastAsia"/>
          <w:sz w:val="24"/>
          <w:szCs w:val="24"/>
        </w:rPr>
        <w:t>por 24 (vinte e quatro) meses</w:t>
      </w:r>
      <w:r w:rsidRPr="004E5739">
        <w:rPr>
          <w:rFonts w:eastAsiaTheme="minorEastAsia"/>
          <w:sz w:val="24"/>
          <w:szCs w:val="24"/>
        </w:rPr>
        <w:t>.</w:t>
      </w:r>
    </w:p>
    <w:p w14:paraId="4C02824B" w14:textId="531B7324" w:rsidR="008472C0" w:rsidRPr="009B7685" w:rsidRDefault="004E5739" w:rsidP="008E736D">
      <w:pPr>
        <w:pStyle w:val="Primeirorecuodecorpodetexto"/>
        <w:spacing w:after="120"/>
        <w:ind w:firstLine="709"/>
        <w:rPr>
          <w:rFonts w:eastAsiaTheme="minorEastAsia"/>
          <w:sz w:val="24"/>
          <w:szCs w:val="24"/>
        </w:rPr>
      </w:pPr>
      <w:r w:rsidRPr="004E5739">
        <w:rPr>
          <w:rFonts w:eastAsiaTheme="minorEastAsia"/>
          <w:sz w:val="24"/>
          <w:szCs w:val="24"/>
        </w:rPr>
        <w:t xml:space="preserve">A implantação dos equipamentos desse item será feita </w:t>
      </w:r>
      <w:r w:rsidR="008E736D">
        <w:rPr>
          <w:rFonts w:eastAsiaTheme="minorEastAsia"/>
          <w:sz w:val="24"/>
          <w:szCs w:val="24"/>
        </w:rPr>
        <w:t>após 12 (doze) meses de vigência do contrato</w:t>
      </w:r>
      <w:r w:rsidR="4F2C0FBD" w:rsidRPr="4F2C0FBD">
        <w:rPr>
          <w:rFonts w:eastAsiaTheme="minorEastAsia"/>
          <w:sz w:val="24"/>
          <w:szCs w:val="24"/>
        </w:rPr>
        <w:t>.</w:t>
      </w:r>
    </w:p>
    <w:p w14:paraId="174D4433"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ITEM 3</w:t>
      </w:r>
    </w:p>
    <w:p w14:paraId="0B72D04A" w14:textId="647BC579" w:rsidR="004E5739" w:rsidRPr="004E5739" w:rsidRDefault="004E5739" w:rsidP="004E5739">
      <w:pPr>
        <w:pStyle w:val="Primeirorecuodecorpodetexto"/>
        <w:spacing w:after="120"/>
        <w:ind w:firstLine="709"/>
        <w:rPr>
          <w:rFonts w:eastAsiaTheme="minorEastAsia"/>
          <w:sz w:val="24"/>
          <w:szCs w:val="24"/>
        </w:rPr>
      </w:pPr>
      <w:r w:rsidRPr="004E5739">
        <w:rPr>
          <w:rFonts w:eastAsiaTheme="minorEastAsia"/>
          <w:sz w:val="24"/>
          <w:szCs w:val="24"/>
        </w:rPr>
        <w:t>Duas unidades de expansão da capacidade de armazenamento de dados da solução do Item 1, com volume mínimo de 512 TB (quinhentos e doze Terabytes)</w:t>
      </w:r>
      <w:r w:rsidR="008E736D">
        <w:rPr>
          <w:rFonts w:eastAsiaTheme="minorEastAsia"/>
          <w:sz w:val="24"/>
          <w:szCs w:val="24"/>
        </w:rPr>
        <w:t xml:space="preserve">, </w:t>
      </w:r>
      <w:r w:rsidR="008E736D" w:rsidRPr="004E5739">
        <w:rPr>
          <w:rFonts w:eastAsiaTheme="minorEastAsia"/>
          <w:sz w:val="24"/>
          <w:szCs w:val="24"/>
        </w:rPr>
        <w:t xml:space="preserve">com suporte técnico e garantia </w:t>
      </w:r>
      <w:r w:rsidR="008E736D">
        <w:rPr>
          <w:rFonts w:eastAsiaTheme="minorEastAsia"/>
          <w:sz w:val="24"/>
          <w:szCs w:val="24"/>
        </w:rPr>
        <w:t>por 12 (doze) meses</w:t>
      </w:r>
      <w:r w:rsidRPr="004E5739">
        <w:rPr>
          <w:rFonts w:eastAsiaTheme="minorEastAsia"/>
          <w:sz w:val="24"/>
          <w:szCs w:val="24"/>
        </w:rPr>
        <w:t>.</w:t>
      </w:r>
    </w:p>
    <w:p w14:paraId="4EAD6BAB" w14:textId="4773A808" w:rsidR="004E5739" w:rsidRPr="004E5739" w:rsidRDefault="004E5739" w:rsidP="004E5739">
      <w:pPr>
        <w:pStyle w:val="Primeirorecuodecorpodetexto"/>
        <w:spacing w:after="120"/>
        <w:ind w:firstLine="709"/>
        <w:rPr>
          <w:rFonts w:eastAsiaTheme="minorEastAsia"/>
          <w:sz w:val="24"/>
          <w:szCs w:val="24"/>
        </w:rPr>
      </w:pPr>
      <w:r w:rsidRPr="004E5739">
        <w:rPr>
          <w:rFonts w:eastAsiaTheme="minorEastAsia"/>
          <w:sz w:val="24"/>
          <w:szCs w:val="24"/>
        </w:rPr>
        <w:t xml:space="preserve">A implantação dos equipamentos desse item será feita </w:t>
      </w:r>
      <w:r w:rsidR="008E736D">
        <w:rPr>
          <w:rFonts w:eastAsiaTheme="minorEastAsia"/>
          <w:sz w:val="24"/>
          <w:szCs w:val="24"/>
        </w:rPr>
        <w:t>após 24 (vinte e quatro) meses de vigência do contrato</w:t>
      </w:r>
      <w:r w:rsidRPr="004E5739">
        <w:rPr>
          <w:rFonts w:eastAsiaTheme="minorEastAsia"/>
          <w:sz w:val="24"/>
          <w:szCs w:val="24"/>
        </w:rPr>
        <w:t>.</w:t>
      </w:r>
    </w:p>
    <w:p w14:paraId="0C814FF5" w14:textId="77777777" w:rsidR="008472C0" w:rsidRPr="009B7685" w:rsidRDefault="4F2C0FBD" w:rsidP="4F2C0FBD">
      <w:pPr>
        <w:pStyle w:val="Primeirorecuodecorpodetexto"/>
        <w:spacing w:after="120"/>
        <w:ind w:firstLine="709"/>
        <w:rPr>
          <w:rFonts w:eastAsiaTheme="minorEastAsia"/>
          <w:b/>
          <w:bCs/>
          <w:sz w:val="24"/>
          <w:szCs w:val="24"/>
        </w:rPr>
      </w:pPr>
      <w:r w:rsidRPr="4F2C0FBD">
        <w:rPr>
          <w:rFonts w:eastAsiaTheme="minorEastAsia"/>
          <w:b/>
          <w:bCs/>
          <w:sz w:val="24"/>
          <w:szCs w:val="24"/>
        </w:rPr>
        <w:t>ITEM 4</w:t>
      </w:r>
    </w:p>
    <w:p w14:paraId="57E1A1CD"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A Capacitação será realizada para 04 (quatro) servidores do PJMT, a serem definidos pelo fiscal técnico do contrato. A capacitação deverá ser realizada na Escola de Servidores do Tribunal de Justiça de Mato Grosso, após o aceite definitivo da solução do item 1. </w:t>
      </w:r>
    </w:p>
    <w:p w14:paraId="336E4458" w14:textId="65C18035"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A implantação da solução foi dividida em etapas (itens 1, </w:t>
      </w:r>
      <w:r w:rsidR="004E5739">
        <w:rPr>
          <w:rFonts w:eastAsiaTheme="minorEastAsia"/>
          <w:sz w:val="24"/>
          <w:szCs w:val="24"/>
        </w:rPr>
        <w:t>2</w:t>
      </w:r>
      <w:r w:rsidRPr="4F2C0FBD">
        <w:rPr>
          <w:rFonts w:eastAsiaTheme="minorEastAsia"/>
          <w:sz w:val="24"/>
          <w:szCs w:val="24"/>
        </w:rPr>
        <w:t xml:space="preserve"> e </w:t>
      </w:r>
      <w:r w:rsidR="004E5739">
        <w:rPr>
          <w:rFonts w:eastAsiaTheme="minorEastAsia"/>
          <w:sz w:val="24"/>
          <w:szCs w:val="24"/>
        </w:rPr>
        <w:t>3</w:t>
      </w:r>
      <w:r w:rsidRPr="4F2C0FBD">
        <w:rPr>
          <w:rFonts w:eastAsiaTheme="minorEastAsia"/>
          <w:sz w:val="24"/>
          <w:szCs w:val="24"/>
        </w:rPr>
        <w:t>) tendo em vista que o mercado apresenta redução gradativa do custo de armazenamento de dados ao passar do tempo, conforme gráficos apresentados nas figuras abaixo:</w:t>
      </w:r>
    </w:p>
    <w:p w14:paraId="2840A2FC" w14:textId="77777777" w:rsidR="008472C0" w:rsidRPr="009B7685" w:rsidRDefault="008472C0" w:rsidP="008472C0">
      <w:pPr>
        <w:pStyle w:val="Primeirorecuodecorpodetexto"/>
        <w:spacing w:after="120"/>
        <w:ind w:firstLine="0"/>
        <w:rPr>
          <w:rFonts w:cstheme="minorHAnsi"/>
          <w:sz w:val="24"/>
          <w:szCs w:val="24"/>
          <w:highlight w:val="cyan"/>
        </w:rPr>
      </w:pPr>
      <w:r w:rsidRPr="009B7685">
        <w:rPr>
          <w:rFonts w:cstheme="minorHAnsi"/>
          <w:noProof/>
        </w:rPr>
        <w:drawing>
          <wp:inline distT="0" distB="0" distL="0" distR="0" wp14:anchorId="3BA1B19B" wp14:editId="45276BA3">
            <wp:extent cx="5400040" cy="3658235"/>
            <wp:effectExtent l="0" t="0" r="0" b="0"/>
            <wp:docPr id="1032609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400040" cy="3658235"/>
                    </a:xfrm>
                    <a:prstGeom prst="rect">
                      <a:avLst/>
                    </a:prstGeom>
                  </pic:spPr>
                </pic:pic>
              </a:graphicData>
            </a:graphic>
          </wp:inline>
        </w:drawing>
      </w:r>
    </w:p>
    <w:p w14:paraId="52B96E2B" w14:textId="77777777" w:rsidR="008472C0" w:rsidRPr="009B7685" w:rsidRDefault="4F2C0FBD" w:rsidP="4F2C0FBD">
      <w:pPr>
        <w:pStyle w:val="Legenda"/>
        <w:rPr>
          <w:rFonts w:eastAsiaTheme="minorEastAsia"/>
          <w:sz w:val="18"/>
        </w:rPr>
      </w:pPr>
      <w:r w:rsidRPr="4F2C0FBD">
        <w:rPr>
          <w:rFonts w:eastAsiaTheme="minorEastAsia"/>
          <w:sz w:val="18"/>
        </w:rPr>
        <w:t>Figura 9 – Custo por Tamanho de Discos de Armazenamento (Fonte: BlackBlaze)</w:t>
      </w:r>
    </w:p>
    <w:p w14:paraId="2EC4528C" w14:textId="77777777" w:rsidR="008472C0" w:rsidRPr="009B7685" w:rsidRDefault="008472C0" w:rsidP="008472C0">
      <w:pPr>
        <w:rPr>
          <w:rFonts w:cstheme="minorHAnsi"/>
        </w:rPr>
      </w:pPr>
      <w:r w:rsidRPr="009B7685">
        <w:rPr>
          <w:rFonts w:cstheme="minorHAnsi"/>
          <w:noProof/>
        </w:rPr>
        <w:drawing>
          <wp:inline distT="0" distB="0" distL="0" distR="0" wp14:anchorId="14592E60" wp14:editId="3C54CA67">
            <wp:extent cx="5400040" cy="3594735"/>
            <wp:effectExtent l="0" t="0" r="0" b="5715"/>
            <wp:docPr id="12172584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400040" cy="3594735"/>
                    </a:xfrm>
                    <a:prstGeom prst="rect">
                      <a:avLst/>
                    </a:prstGeom>
                  </pic:spPr>
                </pic:pic>
              </a:graphicData>
            </a:graphic>
          </wp:inline>
        </w:drawing>
      </w:r>
    </w:p>
    <w:p w14:paraId="3C9F800E" w14:textId="77777777" w:rsidR="008472C0" w:rsidRPr="009B7685" w:rsidRDefault="4F2C0FBD" w:rsidP="4F2C0FBD">
      <w:pPr>
        <w:pStyle w:val="Legenda"/>
        <w:rPr>
          <w:rFonts w:eastAsiaTheme="minorEastAsia"/>
          <w:sz w:val="18"/>
        </w:rPr>
      </w:pPr>
      <w:r w:rsidRPr="4F2C0FBD">
        <w:rPr>
          <w:rFonts w:eastAsiaTheme="minorEastAsia"/>
          <w:sz w:val="18"/>
        </w:rPr>
        <w:t>Figura 10 – Custo por Gigabytes de Discos Rígidos (Fonte: BlackBlaze)</w:t>
      </w:r>
    </w:p>
    <w:p w14:paraId="4E005F98" w14:textId="77777777" w:rsidR="008472C0" w:rsidRPr="009B7685" w:rsidRDefault="008472C0" w:rsidP="008472C0">
      <w:pPr>
        <w:pStyle w:val="Primeirorecuodecorpodetexto"/>
        <w:spacing w:after="120"/>
        <w:ind w:firstLine="709"/>
        <w:rPr>
          <w:rFonts w:cstheme="minorHAnsi"/>
          <w:sz w:val="24"/>
          <w:szCs w:val="24"/>
          <w:highlight w:val="cyan"/>
        </w:rPr>
      </w:pPr>
    </w:p>
    <w:p w14:paraId="7F602122" w14:textId="0CC31C24"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Portanto, caberá aos Fiscais do contrato a incumbência de realizar pesquisa de preço de mercado, previamente a cada Ordem de Serviço de Expansão (itens </w:t>
      </w:r>
      <w:r w:rsidR="004E5739">
        <w:rPr>
          <w:rFonts w:eastAsiaTheme="minorEastAsia"/>
          <w:sz w:val="24"/>
          <w:szCs w:val="24"/>
        </w:rPr>
        <w:t>2</w:t>
      </w:r>
      <w:r w:rsidRPr="4F2C0FBD">
        <w:rPr>
          <w:rFonts w:eastAsiaTheme="minorEastAsia"/>
          <w:sz w:val="24"/>
          <w:szCs w:val="24"/>
        </w:rPr>
        <w:t xml:space="preserve"> e </w:t>
      </w:r>
      <w:r w:rsidR="004E5739">
        <w:rPr>
          <w:rFonts w:eastAsiaTheme="minorEastAsia"/>
          <w:sz w:val="24"/>
          <w:szCs w:val="24"/>
        </w:rPr>
        <w:t>3</w:t>
      </w:r>
      <w:r w:rsidRPr="4F2C0FBD">
        <w:rPr>
          <w:rFonts w:eastAsiaTheme="minorEastAsia"/>
          <w:sz w:val="24"/>
          <w:szCs w:val="24"/>
        </w:rPr>
        <w:t>).</w:t>
      </w:r>
    </w:p>
    <w:p w14:paraId="25E40A2B"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Todas as especificações técnicas e detalhamento da solução estão no Anexo C deste Estudo Preliminar.</w:t>
      </w:r>
    </w:p>
    <w:p w14:paraId="3866CDFE" w14:textId="77777777" w:rsidR="008472C0" w:rsidRPr="009B7685" w:rsidRDefault="008472C0" w:rsidP="4F2C0FBD">
      <w:pPr>
        <w:pStyle w:val="Ttulo2"/>
        <w:rPr>
          <w:rFonts w:asciiTheme="minorHAnsi" w:eastAsiaTheme="minorEastAsia" w:hAnsiTheme="minorHAnsi" w:cstheme="minorBidi"/>
        </w:rPr>
      </w:pPr>
      <w:bookmarkStart w:id="39" w:name="_Toc534884810"/>
      <w:r w:rsidRPr="4F2C0FBD">
        <w:rPr>
          <w:rFonts w:asciiTheme="minorHAnsi" w:eastAsiaTheme="minorEastAsia" w:hAnsiTheme="minorHAnsi" w:cstheme="minorBidi"/>
        </w:rPr>
        <w:t>Alinhamento da Solução (Art. 14, IV, b)</w:t>
      </w:r>
      <w:bookmarkEnd w:id="39"/>
    </w:p>
    <w:p w14:paraId="5AF94FDB" w14:textId="77777777" w:rsidR="008472C0" w:rsidRPr="009B7685" w:rsidRDefault="4F2C0FBD" w:rsidP="4F2C0FBD">
      <w:pPr>
        <w:tabs>
          <w:tab w:val="left" w:pos="851"/>
        </w:tabs>
        <w:ind w:firstLine="709"/>
        <w:rPr>
          <w:rFonts w:eastAsiaTheme="minorEastAsia"/>
          <w:b/>
          <w:bCs/>
          <w:sz w:val="24"/>
          <w:szCs w:val="24"/>
        </w:rPr>
      </w:pPr>
      <w:r w:rsidRPr="4F2C0FBD">
        <w:rPr>
          <w:rFonts w:eastAsiaTheme="minorEastAsia"/>
          <w:b/>
          <w:bCs/>
          <w:sz w:val="24"/>
          <w:szCs w:val="24"/>
        </w:rPr>
        <w:t>PEP4.1 e PAPEP1:</w:t>
      </w:r>
    </w:p>
    <w:p w14:paraId="29796272" w14:textId="77777777" w:rsidR="008472C0" w:rsidRPr="009B7685" w:rsidRDefault="4F2C0FBD" w:rsidP="4F2C0FBD">
      <w:pPr>
        <w:tabs>
          <w:tab w:val="left" w:pos="851"/>
        </w:tabs>
        <w:ind w:firstLine="709"/>
        <w:jc w:val="both"/>
        <w:rPr>
          <w:rFonts w:eastAsiaTheme="minorEastAsia"/>
          <w:sz w:val="24"/>
          <w:szCs w:val="24"/>
        </w:rPr>
      </w:pPr>
      <w:r w:rsidRPr="4F2C0FBD">
        <w:rPr>
          <w:rFonts w:eastAsiaTheme="minorEastAsia"/>
          <w:b/>
          <w:bCs/>
          <w:sz w:val="24"/>
          <w:szCs w:val="24"/>
        </w:rPr>
        <w:t>Tema</w:t>
      </w:r>
      <w:r w:rsidRPr="4F2C0FBD">
        <w:rPr>
          <w:rFonts w:eastAsiaTheme="minorEastAsia"/>
          <w:sz w:val="24"/>
          <w:szCs w:val="24"/>
        </w:rPr>
        <w:t>: Melhoria da infraestrutura, serviços e sistemas de Tecnologia da Informação.</w:t>
      </w:r>
    </w:p>
    <w:p w14:paraId="30C279BF" w14:textId="77777777" w:rsidR="008472C0" w:rsidRPr="009B7685" w:rsidRDefault="4F2C0FBD" w:rsidP="4F2C0FBD">
      <w:pPr>
        <w:tabs>
          <w:tab w:val="left" w:pos="851"/>
        </w:tabs>
        <w:ind w:firstLine="709"/>
        <w:jc w:val="both"/>
        <w:rPr>
          <w:rFonts w:eastAsiaTheme="minorEastAsia"/>
          <w:sz w:val="24"/>
          <w:szCs w:val="24"/>
        </w:rPr>
      </w:pPr>
      <w:r w:rsidRPr="4F2C0FBD">
        <w:rPr>
          <w:rFonts w:eastAsiaTheme="minorEastAsia"/>
          <w:b/>
          <w:bCs/>
          <w:sz w:val="24"/>
          <w:szCs w:val="24"/>
        </w:rPr>
        <w:t>Objetivo Estratégico</w:t>
      </w:r>
      <w:r w:rsidRPr="4F2C0FBD">
        <w:rPr>
          <w:rFonts w:eastAsiaTheme="minorEastAsia"/>
          <w:sz w:val="24"/>
          <w:szCs w:val="24"/>
        </w:rPr>
        <w:t>: Propiciar a infraestrutura adequada de Tecnologia da Informação para atendimento à demanda do PJMT e garantir confiabilidade, integralidade e disponibilidade das informações, serviços e sistemas.</w:t>
      </w:r>
    </w:p>
    <w:p w14:paraId="2FC54F0F" w14:textId="77777777" w:rsidR="008472C0" w:rsidRPr="009B7685" w:rsidRDefault="4F2C0FBD" w:rsidP="4F2C0FBD">
      <w:pPr>
        <w:tabs>
          <w:tab w:val="left" w:pos="851"/>
        </w:tabs>
        <w:ind w:firstLine="709"/>
        <w:jc w:val="both"/>
        <w:rPr>
          <w:rFonts w:eastAsiaTheme="minorEastAsia"/>
          <w:sz w:val="24"/>
          <w:szCs w:val="24"/>
        </w:rPr>
      </w:pPr>
      <w:r w:rsidRPr="4F2C0FBD">
        <w:rPr>
          <w:rFonts w:eastAsiaTheme="minorEastAsia"/>
          <w:b/>
          <w:bCs/>
          <w:sz w:val="24"/>
          <w:szCs w:val="24"/>
        </w:rPr>
        <w:t>Iniciativa Estratégica</w:t>
      </w:r>
      <w:r w:rsidRPr="4F2C0FBD">
        <w:rPr>
          <w:rFonts w:eastAsiaTheme="minorEastAsia"/>
          <w:sz w:val="24"/>
          <w:szCs w:val="24"/>
        </w:rPr>
        <w:t xml:space="preserve">: Aquisição de </w:t>
      </w:r>
      <w:r w:rsidRPr="4F2C0FBD">
        <w:rPr>
          <w:rFonts w:eastAsiaTheme="minorEastAsia"/>
          <w:i/>
          <w:iCs/>
          <w:sz w:val="24"/>
          <w:szCs w:val="24"/>
        </w:rPr>
        <w:t xml:space="preserve">storage </w:t>
      </w:r>
      <w:r w:rsidRPr="4F2C0FBD">
        <w:rPr>
          <w:rFonts w:eastAsiaTheme="minorEastAsia"/>
          <w:sz w:val="24"/>
          <w:szCs w:val="24"/>
        </w:rPr>
        <w:t xml:space="preserve">com funcionalidades voltadas para o usuário final, </w:t>
      </w:r>
      <w:r w:rsidRPr="4F2C0FBD">
        <w:rPr>
          <w:rFonts w:eastAsiaTheme="minorEastAsia"/>
          <w:i/>
          <w:iCs/>
          <w:sz w:val="24"/>
          <w:szCs w:val="24"/>
        </w:rPr>
        <w:t>analytics</w:t>
      </w:r>
      <w:r w:rsidRPr="4F2C0FBD">
        <w:rPr>
          <w:rFonts w:eastAsiaTheme="minorEastAsia"/>
          <w:sz w:val="24"/>
          <w:szCs w:val="24"/>
        </w:rPr>
        <w:t xml:space="preserve">, entre outras, com suporte técnico, para atender as necessidades do Poder Judiciário de Mato Grosso. </w:t>
      </w:r>
    </w:p>
    <w:p w14:paraId="3F76AE8B" w14:textId="77777777" w:rsidR="008472C0" w:rsidRPr="009B7685" w:rsidRDefault="4F2C0FBD" w:rsidP="4F2C0FBD">
      <w:pPr>
        <w:tabs>
          <w:tab w:val="left" w:pos="851"/>
        </w:tabs>
        <w:ind w:firstLine="709"/>
        <w:jc w:val="both"/>
        <w:rPr>
          <w:rFonts w:eastAsiaTheme="minorEastAsia"/>
          <w:sz w:val="24"/>
          <w:szCs w:val="24"/>
        </w:rPr>
      </w:pPr>
      <w:r w:rsidRPr="4F2C0FBD">
        <w:rPr>
          <w:rFonts w:eastAsiaTheme="minorEastAsia"/>
          <w:b/>
          <w:bCs/>
          <w:sz w:val="24"/>
          <w:szCs w:val="24"/>
        </w:rPr>
        <w:t>Projeto</w:t>
      </w:r>
      <w:r w:rsidRPr="4F2C0FBD">
        <w:rPr>
          <w:rFonts w:eastAsiaTheme="minorEastAsia"/>
          <w:sz w:val="24"/>
          <w:szCs w:val="24"/>
        </w:rPr>
        <w:t>: Infraestrutura de equipamentos, comunicação e software de TI.</w:t>
      </w:r>
    </w:p>
    <w:p w14:paraId="4712D7E6" w14:textId="77777777" w:rsidR="008472C0" w:rsidRPr="009B7685" w:rsidRDefault="4F2C0FBD" w:rsidP="4F2C0FBD">
      <w:pPr>
        <w:tabs>
          <w:tab w:val="left" w:pos="851"/>
        </w:tabs>
        <w:ind w:firstLine="709"/>
        <w:jc w:val="both"/>
        <w:rPr>
          <w:rFonts w:eastAsiaTheme="minorEastAsia"/>
          <w:sz w:val="24"/>
          <w:szCs w:val="24"/>
        </w:rPr>
      </w:pPr>
      <w:r w:rsidRPr="4F2C0FBD">
        <w:rPr>
          <w:rFonts w:eastAsiaTheme="minorEastAsia"/>
          <w:b/>
          <w:bCs/>
          <w:sz w:val="24"/>
          <w:szCs w:val="24"/>
        </w:rPr>
        <w:t>Justificativa</w:t>
      </w:r>
      <w:r w:rsidRPr="4F2C0FBD">
        <w:rPr>
          <w:rFonts w:eastAsiaTheme="minorEastAsia"/>
          <w:sz w:val="24"/>
          <w:szCs w:val="24"/>
        </w:rPr>
        <w:t xml:space="preserve">: Garantir o funcionamento das unidades jurisdicionais, através do armazenamento de dados críticos, de forma a atender a missão do PJMT. </w:t>
      </w:r>
    </w:p>
    <w:p w14:paraId="38F15E62" w14:textId="77777777" w:rsidR="008472C0" w:rsidRPr="009B7685" w:rsidRDefault="4F2C0FBD" w:rsidP="4F2C0FBD">
      <w:pPr>
        <w:tabs>
          <w:tab w:val="left" w:pos="851"/>
        </w:tabs>
        <w:ind w:firstLine="709"/>
        <w:jc w:val="both"/>
        <w:rPr>
          <w:rFonts w:eastAsiaTheme="minorEastAsia"/>
          <w:sz w:val="24"/>
          <w:szCs w:val="24"/>
        </w:rPr>
      </w:pPr>
      <w:r w:rsidRPr="4F2C0FBD">
        <w:rPr>
          <w:rFonts w:eastAsiaTheme="minorEastAsia"/>
          <w:b/>
          <w:bCs/>
          <w:sz w:val="24"/>
          <w:szCs w:val="24"/>
        </w:rPr>
        <w:t xml:space="preserve">Plano de contratação TIC – 2019: </w:t>
      </w:r>
      <w:r w:rsidRPr="4F2C0FBD">
        <w:rPr>
          <w:rFonts w:eastAsiaTheme="minorEastAsia"/>
          <w:sz w:val="24"/>
          <w:szCs w:val="24"/>
        </w:rPr>
        <w:t xml:space="preserve">Esta ação está prevista no Plano de Contratações de TIC, no item 1 / Crítico – Expansão </w:t>
      </w:r>
      <w:r w:rsidRPr="4F2C0FBD">
        <w:rPr>
          <w:rFonts w:eastAsiaTheme="minorEastAsia"/>
          <w:i/>
          <w:iCs/>
          <w:sz w:val="24"/>
          <w:szCs w:val="24"/>
        </w:rPr>
        <w:t>Storage</w:t>
      </w:r>
      <w:r w:rsidRPr="4F2C0FBD">
        <w:rPr>
          <w:rFonts w:eastAsiaTheme="minorEastAsia"/>
          <w:sz w:val="24"/>
          <w:szCs w:val="24"/>
        </w:rPr>
        <w:t>.</w:t>
      </w:r>
    </w:p>
    <w:p w14:paraId="1EBEA88D" w14:textId="77777777" w:rsidR="008472C0" w:rsidRPr="009B7685" w:rsidRDefault="008472C0" w:rsidP="4F2C0FBD">
      <w:pPr>
        <w:pStyle w:val="Ttulo2"/>
        <w:rPr>
          <w:rFonts w:asciiTheme="minorHAnsi" w:eastAsiaTheme="minorEastAsia" w:hAnsiTheme="minorHAnsi" w:cstheme="minorBidi"/>
        </w:rPr>
      </w:pPr>
      <w:bookmarkStart w:id="40" w:name="_Toc534884811"/>
      <w:r w:rsidRPr="4F2C0FBD">
        <w:rPr>
          <w:rFonts w:asciiTheme="minorHAnsi" w:eastAsiaTheme="minorEastAsia" w:hAnsiTheme="minorHAnsi" w:cstheme="minorBidi"/>
        </w:rPr>
        <w:t>Benefícios Esperados (Art. 14, IV, c)</w:t>
      </w:r>
      <w:bookmarkEnd w:id="40"/>
    </w:p>
    <w:p w14:paraId="1354DFA0" w14:textId="77777777" w:rsidR="008472C0" w:rsidRPr="00E4500C" w:rsidRDefault="4F2C0FBD" w:rsidP="4F2C0FBD">
      <w:pPr>
        <w:pStyle w:val="PargrafodaLista"/>
        <w:numPr>
          <w:ilvl w:val="0"/>
          <w:numId w:val="6"/>
        </w:numPr>
        <w:autoSpaceDE w:val="0"/>
        <w:autoSpaceDN w:val="0"/>
        <w:adjustRightInd w:val="0"/>
        <w:ind w:left="709" w:hanging="283"/>
        <w:rPr>
          <w:rFonts w:eastAsiaTheme="minorEastAsia"/>
          <w:sz w:val="24"/>
          <w:szCs w:val="24"/>
        </w:rPr>
      </w:pPr>
      <w:r w:rsidRPr="00E4500C">
        <w:rPr>
          <w:rFonts w:eastAsiaTheme="minorEastAsia"/>
          <w:sz w:val="24"/>
          <w:szCs w:val="24"/>
        </w:rPr>
        <w:t>Disponibilidade de sistemas 24/7;</w:t>
      </w:r>
    </w:p>
    <w:p w14:paraId="57563B23" w14:textId="7CE4729A" w:rsidR="00C76B9D" w:rsidRPr="00E4500C" w:rsidRDefault="00C76B9D" w:rsidP="4F2C0FBD">
      <w:pPr>
        <w:pStyle w:val="PargrafodaLista"/>
        <w:numPr>
          <w:ilvl w:val="0"/>
          <w:numId w:val="6"/>
        </w:numPr>
        <w:autoSpaceDE w:val="0"/>
        <w:autoSpaceDN w:val="0"/>
        <w:adjustRightInd w:val="0"/>
        <w:ind w:left="709" w:hanging="283"/>
        <w:rPr>
          <w:rFonts w:eastAsiaTheme="minorEastAsia"/>
          <w:sz w:val="24"/>
          <w:szCs w:val="24"/>
        </w:rPr>
      </w:pPr>
      <w:r w:rsidRPr="00E4500C">
        <w:rPr>
          <w:rFonts w:eastAsiaTheme="minorEastAsia"/>
          <w:sz w:val="24"/>
          <w:szCs w:val="24"/>
        </w:rPr>
        <w:t>Ampliação da capacidade de armazenamento de dados críticos do PJMT em 2 PB líquidos, nos próximos 36 (trinta e seis) meses;</w:t>
      </w:r>
    </w:p>
    <w:p w14:paraId="3A13ABA8" w14:textId="77777777" w:rsidR="008472C0" w:rsidRPr="00E4500C" w:rsidRDefault="4F2C0FBD" w:rsidP="4F2C0FBD">
      <w:pPr>
        <w:pStyle w:val="PargrafodaLista"/>
        <w:numPr>
          <w:ilvl w:val="0"/>
          <w:numId w:val="6"/>
        </w:numPr>
        <w:autoSpaceDE w:val="0"/>
        <w:autoSpaceDN w:val="0"/>
        <w:adjustRightInd w:val="0"/>
        <w:ind w:left="709" w:hanging="283"/>
        <w:rPr>
          <w:rFonts w:eastAsiaTheme="minorEastAsia"/>
          <w:sz w:val="24"/>
          <w:szCs w:val="24"/>
        </w:rPr>
      </w:pPr>
      <w:r w:rsidRPr="00E4500C">
        <w:rPr>
          <w:rFonts w:eastAsiaTheme="minorEastAsia"/>
          <w:sz w:val="24"/>
          <w:szCs w:val="24"/>
        </w:rPr>
        <w:t xml:space="preserve">Confiabilidade no armazenamento dos dados gravados, através do suporte técnico e garantia da solução; </w:t>
      </w:r>
    </w:p>
    <w:p w14:paraId="1FAD1E28" w14:textId="77777777" w:rsidR="008472C0" w:rsidRPr="00E4500C" w:rsidRDefault="4F2C0FBD" w:rsidP="4F2C0FBD">
      <w:pPr>
        <w:pStyle w:val="PargrafodaLista"/>
        <w:numPr>
          <w:ilvl w:val="0"/>
          <w:numId w:val="6"/>
        </w:numPr>
        <w:ind w:left="709" w:hanging="283"/>
        <w:rPr>
          <w:rFonts w:eastAsiaTheme="minorEastAsia"/>
          <w:sz w:val="24"/>
          <w:szCs w:val="24"/>
        </w:rPr>
      </w:pPr>
      <w:r w:rsidRPr="00E4500C">
        <w:rPr>
          <w:rFonts w:eastAsiaTheme="minorEastAsia"/>
          <w:sz w:val="24"/>
          <w:szCs w:val="24"/>
        </w:rPr>
        <w:t>Disponibilidade de espaço físico de 1 (um) armário em cada Datacenter – TJMT e Fórum da Capital - com a saída/moving dos equipamentos VSP;</w:t>
      </w:r>
    </w:p>
    <w:p w14:paraId="0F964BC1" w14:textId="5EACCF96" w:rsidR="008472C0" w:rsidRPr="00E4500C" w:rsidRDefault="4F2C0FBD" w:rsidP="4F2C0FBD">
      <w:pPr>
        <w:pStyle w:val="PargrafodaLista"/>
        <w:numPr>
          <w:ilvl w:val="0"/>
          <w:numId w:val="6"/>
        </w:numPr>
        <w:autoSpaceDE w:val="0"/>
        <w:autoSpaceDN w:val="0"/>
        <w:adjustRightInd w:val="0"/>
        <w:ind w:left="709" w:hanging="283"/>
        <w:rPr>
          <w:rFonts w:eastAsiaTheme="minorEastAsia"/>
          <w:sz w:val="24"/>
          <w:szCs w:val="24"/>
        </w:rPr>
      </w:pPr>
      <w:r w:rsidRPr="00E4500C">
        <w:rPr>
          <w:rFonts w:eastAsiaTheme="minorEastAsia"/>
          <w:sz w:val="24"/>
          <w:szCs w:val="24"/>
        </w:rPr>
        <w:t>Análise preditiva de utilização do storage, garantindo a otimização da solução, com base n</w:t>
      </w:r>
      <w:r w:rsidR="00F37E9C" w:rsidRPr="00E4500C">
        <w:rPr>
          <w:rFonts w:eastAsiaTheme="minorEastAsia"/>
          <w:sz w:val="24"/>
          <w:szCs w:val="24"/>
        </w:rPr>
        <w:t>as melhores práticas do mercado;</w:t>
      </w:r>
    </w:p>
    <w:p w14:paraId="01F2310A" w14:textId="26A4A288" w:rsidR="00F37E9C" w:rsidRPr="00E4500C" w:rsidRDefault="00F37E9C" w:rsidP="4F2C0FBD">
      <w:pPr>
        <w:pStyle w:val="PargrafodaLista"/>
        <w:numPr>
          <w:ilvl w:val="0"/>
          <w:numId w:val="6"/>
        </w:numPr>
        <w:autoSpaceDE w:val="0"/>
        <w:autoSpaceDN w:val="0"/>
        <w:adjustRightInd w:val="0"/>
        <w:ind w:left="709" w:hanging="283"/>
        <w:rPr>
          <w:rFonts w:eastAsiaTheme="minorEastAsia"/>
          <w:sz w:val="24"/>
          <w:szCs w:val="24"/>
        </w:rPr>
      </w:pPr>
      <w:r w:rsidRPr="00E4500C">
        <w:rPr>
          <w:rFonts w:eastAsiaTheme="minorEastAsia"/>
          <w:sz w:val="24"/>
          <w:szCs w:val="24"/>
        </w:rPr>
        <w:t xml:space="preserve">Disponibilização de espaço de armazenamento para replicação de dados das Unidades Jurisdicionais (Comarcas), através da solução </w:t>
      </w:r>
      <w:r w:rsidRPr="00E4500C">
        <w:rPr>
          <w:rFonts w:eastAsiaTheme="minorEastAsia"/>
          <w:i/>
          <w:sz w:val="24"/>
          <w:szCs w:val="24"/>
        </w:rPr>
        <w:t>Riverbed StealFusion</w:t>
      </w:r>
      <w:r w:rsidRPr="00E4500C">
        <w:rPr>
          <w:rFonts w:eastAsiaTheme="minorEastAsia"/>
          <w:sz w:val="24"/>
          <w:szCs w:val="24"/>
        </w:rPr>
        <w:t>.</w:t>
      </w:r>
    </w:p>
    <w:p w14:paraId="13E4DD18" w14:textId="77777777" w:rsidR="008472C0" w:rsidRPr="009B7685" w:rsidRDefault="008472C0" w:rsidP="4F2C0FBD">
      <w:pPr>
        <w:pStyle w:val="Ttulo2"/>
        <w:spacing w:after="120"/>
        <w:ind w:left="578" w:hanging="578"/>
        <w:rPr>
          <w:rFonts w:asciiTheme="minorHAnsi" w:eastAsiaTheme="minorEastAsia" w:hAnsiTheme="minorHAnsi" w:cstheme="minorBidi"/>
        </w:rPr>
      </w:pPr>
      <w:bookmarkStart w:id="41" w:name="_Toc534884812"/>
      <w:r w:rsidRPr="4F2C0FBD">
        <w:rPr>
          <w:rFonts w:asciiTheme="minorHAnsi" w:eastAsiaTheme="minorEastAsia" w:hAnsiTheme="minorHAnsi" w:cstheme="minorBidi"/>
        </w:rPr>
        <w:t>Relação entre a Demanda Prevista e a Contratada (Art. 14, IV, d)</w:t>
      </w:r>
      <w:bookmarkEnd w:id="41"/>
    </w:p>
    <w:p w14:paraId="4E029B1D" w14:textId="1A369B59"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Toda a demanda ora trabalhada será contratada, de maneira</w:t>
      </w:r>
      <w:r w:rsidRPr="007D46EC">
        <w:rPr>
          <w:rFonts w:eastAsiaTheme="minorEastAsia"/>
          <w:color w:val="FF0000"/>
          <w:sz w:val="24"/>
          <w:szCs w:val="24"/>
        </w:rPr>
        <w:t xml:space="preserve"> </w:t>
      </w:r>
      <w:r w:rsidR="007D46EC" w:rsidRPr="00ED1A87">
        <w:rPr>
          <w:rFonts w:eastAsiaTheme="minorEastAsia"/>
          <w:sz w:val="24"/>
          <w:szCs w:val="24"/>
        </w:rPr>
        <w:t>gradativa</w:t>
      </w:r>
      <w:r w:rsidRPr="4F2C0FBD">
        <w:rPr>
          <w:rFonts w:eastAsiaTheme="minorEastAsia"/>
          <w:sz w:val="24"/>
          <w:szCs w:val="24"/>
        </w:rPr>
        <w:t xml:space="preserve">, via Contrato, de acordo com a ocorrência da emissão de Ordens de Serviço, já predeterminadas, e Plano de Implantação. </w:t>
      </w:r>
    </w:p>
    <w:p w14:paraId="5505869E"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O quantitativo descrito na tabela 1, do item 1.12, foi baseado na necessidade de aumento da capacidade de armazenamento de dados do PJMT, através de aquisição de </w:t>
      </w:r>
      <w:r w:rsidRPr="4F2C0FBD">
        <w:rPr>
          <w:rFonts w:eastAsiaTheme="minorEastAsia"/>
          <w:i/>
          <w:iCs/>
          <w:sz w:val="24"/>
          <w:szCs w:val="24"/>
        </w:rPr>
        <w:t>storages</w:t>
      </w:r>
      <w:r w:rsidRPr="4F2C0FBD">
        <w:rPr>
          <w:rFonts w:eastAsiaTheme="minorEastAsia"/>
          <w:sz w:val="24"/>
          <w:szCs w:val="24"/>
        </w:rPr>
        <w:t xml:space="preserve"> a serem instalados nos Datacenters do Fórum da Capital e do Tribunal de Justiça de Mato Grosso.</w:t>
      </w:r>
    </w:p>
    <w:p w14:paraId="500A487E" w14:textId="316EC79E" w:rsidR="008472C0" w:rsidRPr="009B7685" w:rsidRDefault="4F2C0FBD" w:rsidP="4F2C0FBD">
      <w:pPr>
        <w:pStyle w:val="Primeirorecuodecorpodetexto"/>
        <w:spacing w:after="120"/>
        <w:ind w:firstLine="709"/>
        <w:rPr>
          <w:rFonts w:eastAsiaTheme="minorEastAsia"/>
          <w:strike/>
          <w:color w:val="FF0000"/>
          <w:sz w:val="24"/>
          <w:szCs w:val="24"/>
        </w:rPr>
      </w:pPr>
      <w:r w:rsidRPr="4F2C0FBD">
        <w:rPr>
          <w:rFonts w:eastAsiaTheme="minorEastAsia"/>
          <w:sz w:val="24"/>
          <w:szCs w:val="24"/>
        </w:rPr>
        <w:t>A aquisição da solução de armazenamento de dados, composta por racks, controladoras, discos e demais acessórios/licenças necessárias para funcionamento da mesma, com instalação, configuração e expansão gradativa de sua capacidade,</w:t>
      </w:r>
      <w:r w:rsidR="004E5739">
        <w:rPr>
          <w:rFonts w:eastAsiaTheme="minorEastAsia"/>
          <w:sz w:val="24"/>
          <w:szCs w:val="24"/>
        </w:rPr>
        <w:t xml:space="preserve"> contemplando suporte técnico e garantia da solução,</w:t>
      </w:r>
      <w:r w:rsidRPr="4F2C0FBD">
        <w:rPr>
          <w:rFonts w:eastAsiaTheme="minorEastAsia"/>
          <w:sz w:val="24"/>
          <w:szCs w:val="24"/>
        </w:rPr>
        <w:t xml:space="preserve"> conforme Plano de Implantação – Anexo B (itens 1, </w:t>
      </w:r>
      <w:r w:rsidR="004E5739">
        <w:rPr>
          <w:rFonts w:eastAsiaTheme="minorEastAsia"/>
          <w:sz w:val="24"/>
          <w:szCs w:val="24"/>
        </w:rPr>
        <w:t>2 e 3</w:t>
      </w:r>
      <w:r w:rsidRPr="4F2C0FBD">
        <w:rPr>
          <w:rFonts w:eastAsiaTheme="minorEastAsia"/>
          <w:sz w:val="24"/>
          <w:szCs w:val="24"/>
        </w:rPr>
        <w:t>), assim como a capacitação (ite</w:t>
      </w:r>
      <w:r w:rsidR="00F37E9C">
        <w:rPr>
          <w:rFonts w:eastAsiaTheme="minorEastAsia"/>
          <w:sz w:val="24"/>
          <w:szCs w:val="24"/>
        </w:rPr>
        <w:t>m 4</w:t>
      </w:r>
      <w:r w:rsidRPr="4F2C0FBD">
        <w:rPr>
          <w:rFonts w:eastAsiaTheme="minorEastAsia"/>
          <w:sz w:val="24"/>
          <w:szCs w:val="24"/>
        </w:rPr>
        <w:t>) serão pagos em parcela única</w:t>
      </w:r>
      <w:r w:rsidRPr="4F2C0FBD">
        <w:rPr>
          <w:color w:val="FF0000"/>
          <w:sz w:val="24"/>
          <w:szCs w:val="24"/>
        </w:rPr>
        <w:t xml:space="preserve"> </w:t>
      </w:r>
      <w:r w:rsidRPr="4F2C0FBD">
        <w:rPr>
          <w:rFonts w:eastAsiaTheme="minorEastAsia"/>
          <w:sz w:val="24"/>
          <w:szCs w:val="24"/>
        </w:rPr>
        <w:t>e independes entre si.</w:t>
      </w:r>
    </w:p>
    <w:p w14:paraId="358BF599" w14:textId="178203D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A imp</w:t>
      </w:r>
      <w:r w:rsidR="004E5739">
        <w:rPr>
          <w:rFonts w:eastAsiaTheme="minorEastAsia"/>
          <w:sz w:val="24"/>
          <w:szCs w:val="24"/>
        </w:rPr>
        <w:t>lantação/execução dos itens 1</w:t>
      </w:r>
      <w:r w:rsidR="00F37E9C">
        <w:rPr>
          <w:rFonts w:eastAsiaTheme="minorEastAsia"/>
          <w:sz w:val="24"/>
          <w:szCs w:val="24"/>
        </w:rPr>
        <w:t xml:space="preserve"> e 4</w:t>
      </w:r>
      <w:r w:rsidRPr="4F2C0FBD">
        <w:rPr>
          <w:rFonts w:eastAsiaTheme="minorEastAsia"/>
          <w:sz w:val="24"/>
          <w:szCs w:val="24"/>
        </w:rPr>
        <w:t xml:space="preserve"> será iniciada de imediato após assinatura do contrato. As expansões descritas nos itens </w:t>
      </w:r>
      <w:r w:rsidR="004E5739">
        <w:rPr>
          <w:rFonts w:eastAsiaTheme="minorEastAsia"/>
          <w:sz w:val="24"/>
          <w:szCs w:val="24"/>
        </w:rPr>
        <w:t>2</w:t>
      </w:r>
      <w:r w:rsidRPr="4F2C0FBD">
        <w:rPr>
          <w:rFonts w:eastAsiaTheme="minorEastAsia"/>
          <w:sz w:val="24"/>
          <w:szCs w:val="24"/>
        </w:rPr>
        <w:t xml:space="preserve"> e </w:t>
      </w:r>
      <w:r w:rsidR="004E5739">
        <w:rPr>
          <w:rFonts w:eastAsiaTheme="minorEastAsia"/>
          <w:sz w:val="24"/>
          <w:szCs w:val="24"/>
        </w:rPr>
        <w:t>3</w:t>
      </w:r>
      <w:r w:rsidRPr="4F2C0FBD">
        <w:rPr>
          <w:rFonts w:eastAsiaTheme="minorEastAsia"/>
          <w:sz w:val="24"/>
          <w:szCs w:val="24"/>
        </w:rPr>
        <w:t xml:space="preserve"> </w:t>
      </w:r>
      <w:r w:rsidR="004E5739">
        <w:rPr>
          <w:rFonts w:eastAsiaTheme="minorEastAsia"/>
          <w:sz w:val="24"/>
          <w:szCs w:val="24"/>
        </w:rPr>
        <w:t xml:space="preserve">serão executadas conforme </w:t>
      </w:r>
      <w:r w:rsidR="008E736D">
        <w:rPr>
          <w:rFonts w:eastAsiaTheme="minorEastAsia"/>
          <w:sz w:val="24"/>
          <w:szCs w:val="24"/>
        </w:rPr>
        <w:t>cronograma apresentado no Plano de Implantação (anexo B)</w:t>
      </w:r>
      <w:r w:rsidRPr="4F2C0FBD">
        <w:rPr>
          <w:rFonts w:eastAsiaTheme="minorEastAsia"/>
          <w:sz w:val="24"/>
          <w:szCs w:val="24"/>
        </w:rPr>
        <w:t xml:space="preserve">. </w:t>
      </w:r>
    </w:p>
    <w:p w14:paraId="39AD8655" w14:textId="77777777" w:rsidR="008472C0" w:rsidRPr="009B7685" w:rsidRDefault="008472C0" w:rsidP="4F2C0FBD">
      <w:pPr>
        <w:pStyle w:val="Ttulo2"/>
        <w:rPr>
          <w:rFonts w:asciiTheme="minorHAnsi" w:eastAsiaTheme="minorEastAsia" w:hAnsiTheme="minorHAnsi" w:cstheme="minorBidi"/>
        </w:rPr>
      </w:pPr>
      <w:bookmarkStart w:id="42" w:name="_Toc534884813"/>
      <w:r w:rsidRPr="4F2C0FBD">
        <w:rPr>
          <w:rFonts w:asciiTheme="minorHAnsi" w:eastAsiaTheme="minorEastAsia" w:hAnsiTheme="minorHAnsi" w:cstheme="minorBidi"/>
        </w:rPr>
        <w:t>Requisitos Temporais (Art. 3, V)</w:t>
      </w:r>
      <w:bookmarkEnd w:id="42"/>
    </w:p>
    <w:p w14:paraId="5107356F"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O Plano de Implantação se encontra no Anexo B deste Estudo Preliminar.</w:t>
      </w:r>
    </w:p>
    <w:p w14:paraId="1C99B2E7" w14:textId="77777777" w:rsidR="008472C0" w:rsidRPr="009B7685" w:rsidRDefault="008472C0" w:rsidP="4F2C0FBD">
      <w:pPr>
        <w:pStyle w:val="Ttulo2"/>
        <w:rPr>
          <w:rFonts w:asciiTheme="minorHAnsi" w:eastAsiaTheme="minorEastAsia" w:hAnsiTheme="minorHAnsi" w:cstheme="minorBidi"/>
        </w:rPr>
      </w:pPr>
      <w:bookmarkStart w:id="43" w:name="_Toc534884814"/>
      <w:r w:rsidRPr="4F2C0FBD">
        <w:rPr>
          <w:rFonts w:asciiTheme="minorHAnsi" w:eastAsiaTheme="minorEastAsia" w:hAnsiTheme="minorHAnsi" w:cstheme="minorBidi"/>
        </w:rPr>
        <w:t>Adequação do Ambiente (Art. 14, V, a, b, c, d, e, f)</w:t>
      </w:r>
      <w:bookmarkEnd w:id="43"/>
    </w:p>
    <w:p w14:paraId="4F70F7A6"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Infraestrutura tecnológica</w:t>
      </w:r>
      <w:r w:rsidRPr="4F2C0FBD">
        <w:rPr>
          <w:rFonts w:eastAsiaTheme="minorEastAsia"/>
          <w:sz w:val="24"/>
          <w:szCs w:val="24"/>
        </w:rPr>
        <w:t xml:space="preserve">: A instalação dos novos storages utilizará a rede lógica corporativa existente do TJMT. </w:t>
      </w:r>
    </w:p>
    <w:p w14:paraId="3BD969D5"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Infraestrutura elétrica</w:t>
      </w:r>
      <w:r w:rsidRPr="4F2C0FBD">
        <w:rPr>
          <w:rFonts w:eastAsiaTheme="minorEastAsia"/>
          <w:sz w:val="24"/>
          <w:szCs w:val="24"/>
        </w:rPr>
        <w:t>: a disponibilização de energia elétrica para a solução ficará por conta do TJMT.</w:t>
      </w:r>
    </w:p>
    <w:p w14:paraId="1EBDD1A5" w14:textId="67BBC75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Logística de implantação</w:t>
      </w:r>
      <w:r w:rsidRPr="4F2C0FBD">
        <w:rPr>
          <w:rFonts w:eastAsiaTheme="minorEastAsia"/>
          <w:sz w:val="24"/>
          <w:szCs w:val="24"/>
        </w:rPr>
        <w:t xml:space="preserve">: após o processo de </w:t>
      </w:r>
      <w:r w:rsidRPr="4F2C0FBD">
        <w:rPr>
          <w:rFonts w:eastAsiaTheme="minorEastAsia"/>
          <w:i/>
          <w:iCs/>
          <w:sz w:val="24"/>
          <w:szCs w:val="24"/>
        </w:rPr>
        <w:t xml:space="preserve">moving </w:t>
      </w:r>
      <w:r w:rsidRPr="4F2C0FBD">
        <w:rPr>
          <w:rFonts w:eastAsiaTheme="minorEastAsia"/>
          <w:sz w:val="24"/>
          <w:szCs w:val="24"/>
        </w:rPr>
        <w:t xml:space="preserve">dos storages VSP e AMS 1000, da entrega dos equipamentos dos itens 1, </w:t>
      </w:r>
      <w:r w:rsidR="00237DCD">
        <w:rPr>
          <w:rFonts w:eastAsiaTheme="minorEastAsia"/>
          <w:sz w:val="24"/>
          <w:szCs w:val="24"/>
        </w:rPr>
        <w:t>2 e 3</w:t>
      </w:r>
      <w:r w:rsidRPr="4F2C0FBD">
        <w:rPr>
          <w:rFonts w:eastAsiaTheme="minorEastAsia"/>
          <w:sz w:val="24"/>
          <w:szCs w:val="24"/>
        </w:rPr>
        <w:t xml:space="preserve"> do objeto (cada um em sua etapa definida no plano de implantação) pela Contratada, recebimento e aceite por este TJMT, estes deverão ser instalados e configurados, também pela Contratada, com supervisão da CTI, conforme Plano de Implantação – Anexo B.</w:t>
      </w:r>
    </w:p>
    <w:p w14:paraId="7320626F" w14:textId="77777777" w:rsidR="008472C0" w:rsidRPr="009B7685" w:rsidRDefault="008472C0" w:rsidP="4F2C0FBD">
      <w:pPr>
        <w:pStyle w:val="Primeirorecuodecorpodetexto"/>
        <w:spacing w:after="120"/>
        <w:ind w:firstLine="709"/>
        <w:rPr>
          <w:rFonts w:eastAsiaTheme="minorEastAsia"/>
          <w:sz w:val="24"/>
          <w:szCs w:val="24"/>
        </w:rPr>
      </w:pPr>
      <w:r w:rsidRPr="4F2C0FBD">
        <w:rPr>
          <w:rFonts w:eastAsiaTheme="minorEastAsia"/>
          <w:b/>
          <w:bCs/>
          <w:sz w:val="24"/>
          <w:szCs w:val="24"/>
        </w:rPr>
        <w:t>Espaço físico e mobiliário</w:t>
      </w:r>
      <w:r w:rsidRPr="4F2C0FBD">
        <w:rPr>
          <w:rFonts w:eastAsiaTheme="minorEastAsia"/>
          <w:sz w:val="24"/>
          <w:szCs w:val="24"/>
        </w:rPr>
        <w:t xml:space="preserve">: deverá ser retirado, tanto do Datacenter do TJMT, quanto do Fórum da Capital, 02 racks (um em cada Datacenter), realocando-os </w:t>
      </w:r>
      <w:r w:rsidRPr="4F2C0FBD">
        <w:rPr>
          <w:rFonts w:eastAsiaTheme="minorEastAsia"/>
          <w:color w:val="000000"/>
          <w:sz w:val="24"/>
          <w:szCs w:val="24"/>
          <w:shd w:val="clear" w:color="auto" w:fill="FFFFFF"/>
        </w:rPr>
        <w:t xml:space="preserve">para o antigo Datacenter do Fórum da Capital. </w:t>
      </w:r>
      <w:r w:rsidRPr="4F2C0FBD">
        <w:rPr>
          <w:rFonts w:eastAsiaTheme="minorEastAsia"/>
          <w:sz w:val="24"/>
          <w:szCs w:val="24"/>
        </w:rPr>
        <w:t xml:space="preserve">Tal retirada liberará o espaço necessário para entrada dos novos racks previstos para a expansão, sendo 01 em cada Datacenter. Também será realizado </w:t>
      </w:r>
      <w:r w:rsidRPr="4F2C0FBD">
        <w:rPr>
          <w:rFonts w:eastAsiaTheme="minorEastAsia"/>
          <w:i/>
          <w:iCs/>
          <w:sz w:val="24"/>
          <w:szCs w:val="24"/>
        </w:rPr>
        <w:t>moving</w:t>
      </w:r>
      <w:r w:rsidRPr="4F2C0FBD">
        <w:rPr>
          <w:rFonts w:eastAsiaTheme="minorEastAsia"/>
          <w:sz w:val="24"/>
          <w:szCs w:val="24"/>
        </w:rPr>
        <w:t xml:space="preserve"> dos Storages AMS 1000, que deverão ser transportados até o barracão do Departamento de Material e Patrimônio.</w:t>
      </w:r>
    </w:p>
    <w:p w14:paraId="3C6D1EB5" w14:textId="77777777" w:rsidR="008472C0" w:rsidRPr="009B7685" w:rsidRDefault="008472C0"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Maiores informações quanto aos processos de </w:t>
      </w:r>
      <w:r w:rsidRPr="4F2C0FBD">
        <w:rPr>
          <w:rFonts w:eastAsiaTheme="minorEastAsia"/>
          <w:i/>
          <w:iCs/>
          <w:sz w:val="24"/>
          <w:szCs w:val="24"/>
        </w:rPr>
        <w:t xml:space="preserve">moving </w:t>
      </w:r>
      <w:r w:rsidRPr="4F2C0FBD">
        <w:rPr>
          <w:rFonts w:eastAsiaTheme="minorEastAsia"/>
          <w:color w:val="000000"/>
          <w:sz w:val="24"/>
          <w:szCs w:val="24"/>
          <w:shd w:val="clear" w:color="auto" w:fill="FFFFFF"/>
        </w:rPr>
        <w:t>estão detalhadas no Plano de Implantação (Anexo B)</w:t>
      </w:r>
      <w:r w:rsidRPr="4F2C0FBD">
        <w:rPr>
          <w:rFonts w:eastAsiaTheme="minorEastAsia"/>
          <w:sz w:val="24"/>
          <w:szCs w:val="24"/>
        </w:rPr>
        <w:t>.</w:t>
      </w:r>
    </w:p>
    <w:p w14:paraId="413FCC43"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Sobre o item mobiliário, não se faz necessário, visto que esta estrutura já conta com seu próprio mobiliário.</w:t>
      </w:r>
    </w:p>
    <w:p w14:paraId="478BFD42" w14:textId="77777777" w:rsidR="008472C0" w:rsidRPr="009B7685" w:rsidRDefault="4F2C0FBD" w:rsidP="4F2C0FBD">
      <w:pPr>
        <w:pStyle w:val="Primeirorecuodecorpodetexto"/>
        <w:tabs>
          <w:tab w:val="left" w:pos="6969"/>
        </w:tabs>
        <w:spacing w:after="120"/>
        <w:ind w:firstLine="709"/>
        <w:rPr>
          <w:rFonts w:eastAsiaTheme="minorEastAsia"/>
          <w:sz w:val="24"/>
          <w:szCs w:val="24"/>
        </w:rPr>
      </w:pPr>
      <w:r w:rsidRPr="4F2C0FBD">
        <w:rPr>
          <w:rFonts w:eastAsiaTheme="minorEastAsia"/>
          <w:b/>
          <w:bCs/>
          <w:sz w:val="24"/>
          <w:szCs w:val="24"/>
        </w:rPr>
        <w:t>Impacto Ambiental</w:t>
      </w:r>
      <w:r w:rsidRPr="4F2C0FBD">
        <w:rPr>
          <w:rFonts w:eastAsiaTheme="minorEastAsia"/>
          <w:sz w:val="24"/>
          <w:szCs w:val="24"/>
        </w:rPr>
        <w:t xml:space="preserve">: não haverá impacto ambiental na implantação da solução objeto deste Estudo Preliminar. </w:t>
      </w:r>
    </w:p>
    <w:p w14:paraId="607F9B6D" w14:textId="77777777" w:rsidR="008472C0" w:rsidRPr="009B7685" w:rsidRDefault="008472C0" w:rsidP="4F2C0FBD">
      <w:pPr>
        <w:pStyle w:val="Ttulo2"/>
        <w:rPr>
          <w:rFonts w:asciiTheme="minorHAnsi" w:eastAsiaTheme="minorEastAsia" w:hAnsiTheme="minorHAnsi" w:cstheme="minorBidi"/>
        </w:rPr>
      </w:pPr>
      <w:bookmarkStart w:id="44" w:name="_Toc534884815"/>
      <w:r w:rsidRPr="4F2C0FBD">
        <w:rPr>
          <w:rFonts w:asciiTheme="minorHAnsi" w:eastAsiaTheme="minorEastAsia" w:hAnsiTheme="minorHAnsi" w:cstheme="minorBidi"/>
        </w:rPr>
        <w:t>Orçamento Estimado (Art. 14, II, g)</w:t>
      </w:r>
      <w:bookmarkEnd w:id="44"/>
    </w:p>
    <w:p w14:paraId="1A7A8542" w14:textId="36CD210A" w:rsidR="008472C0" w:rsidRPr="009B7685" w:rsidRDefault="4F2C0FBD" w:rsidP="4F2C0FBD">
      <w:pPr>
        <w:pStyle w:val="Primeirorecuodecorpodetexto"/>
        <w:numPr>
          <w:ilvl w:val="0"/>
          <w:numId w:val="4"/>
        </w:numPr>
        <w:spacing w:after="120"/>
        <w:rPr>
          <w:rFonts w:eastAsiaTheme="minorEastAsia"/>
          <w:sz w:val="24"/>
          <w:szCs w:val="24"/>
        </w:rPr>
      </w:pPr>
      <w:r w:rsidRPr="4F2C0FBD">
        <w:rPr>
          <w:rFonts w:eastAsiaTheme="minorEastAsia"/>
          <w:sz w:val="24"/>
          <w:szCs w:val="24"/>
        </w:rPr>
        <w:t>O orçamento estimado p</w:t>
      </w:r>
      <w:r w:rsidRPr="00324C71">
        <w:rPr>
          <w:rFonts w:eastAsiaTheme="minorEastAsia"/>
          <w:sz w:val="24"/>
          <w:szCs w:val="24"/>
        </w:rPr>
        <w:t xml:space="preserve">ara a aquisição desta solução é de </w:t>
      </w:r>
      <w:r w:rsidRPr="00324C71">
        <w:rPr>
          <w:rFonts w:eastAsiaTheme="minorEastAsia"/>
          <w:b/>
          <w:bCs/>
          <w:sz w:val="24"/>
          <w:szCs w:val="24"/>
        </w:rPr>
        <w:t xml:space="preserve">R$ </w:t>
      </w:r>
      <w:r w:rsidR="00324C71" w:rsidRPr="00324C71">
        <w:rPr>
          <w:rFonts w:eastAsiaTheme="minorEastAsia"/>
          <w:b/>
          <w:bCs/>
          <w:sz w:val="24"/>
          <w:szCs w:val="24"/>
        </w:rPr>
        <w:t>9.</w:t>
      </w:r>
      <w:r w:rsidR="007D789A">
        <w:rPr>
          <w:rFonts w:eastAsiaTheme="minorEastAsia"/>
          <w:b/>
          <w:bCs/>
          <w:sz w:val="24"/>
          <w:szCs w:val="24"/>
        </w:rPr>
        <w:t>793.222.67</w:t>
      </w:r>
      <w:r w:rsidRPr="00324C71">
        <w:rPr>
          <w:rFonts w:eastAsiaTheme="minorEastAsia"/>
          <w:b/>
          <w:bCs/>
          <w:sz w:val="24"/>
          <w:szCs w:val="24"/>
        </w:rPr>
        <w:t xml:space="preserve"> (</w:t>
      </w:r>
      <w:r w:rsidR="00324C71" w:rsidRPr="00324C71">
        <w:rPr>
          <w:rFonts w:eastAsiaTheme="minorEastAsia"/>
          <w:b/>
          <w:bCs/>
          <w:sz w:val="24"/>
          <w:szCs w:val="24"/>
        </w:rPr>
        <w:t xml:space="preserve">nove milhões, </w:t>
      </w:r>
      <w:r w:rsidR="007D789A">
        <w:rPr>
          <w:rFonts w:eastAsiaTheme="minorEastAsia"/>
          <w:b/>
          <w:bCs/>
          <w:sz w:val="24"/>
          <w:szCs w:val="24"/>
        </w:rPr>
        <w:t>setecentos e trinta e dois</w:t>
      </w:r>
      <w:r w:rsidR="00324C71" w:rsidRPr="00324C71">
        <w:rPr>
          <w:rFonts w:eastAsiaTheme="minorEastAsia"/>
          <w:b/>
          <w:bCs/>
          <w:sz w:val="24"/>
          <w:szCs w:val="24"/>
        </w:rPr>
        <w:t xml:space="preserve"> mil, </w:t>
      </w:r>
      <w:r w:rsidR="007D789A">
        <w:rPr>
          <w:rFonts w:eastAsiaTheme="minorEastAsia"/>
          <w:b/>
          <w:bCs/>
          <w:sz w:val="24"/>
          <w:szCs w:val="24"/>
        </w:rPr>
        <w:t>duzentos e vinte e dois</w:t>
      </w:r>
      <w:r w:rsidR="00324C71" w:rsidRPr="00324C71">
        <w:rPr>
          <w:rFonts w:eastAsiaTheme="minorEastAsia"/>
          <w:b/>
          <w:bCs/>
          <w:sz w:val="24"/>
          <w:szCs w:val="24"/>
        </w:rPr>
        <w:t xml:space="preserve"> reais e </w:t>
      </w:r>
      <w:r w:rsidR="007D789A">
        <w:rPr>
          <w:rFonts w:eastAsiaTheme="minorEastAsia"/>
          <w:b/>
          <w:bCs/>
          <w:sz w:val="24"/>
          <w:szCs w:val="24"/>
        </w:rPr>
        <w:t>sessenta e sete</w:t>
      </w:r>
      <w:r w:rsidR="00324C71" w:rsidRPr="00324C71">
        <w:rPr>
          <w:rFonts w:eastAsiaTheme="minorEastAsia"/>
          <w:b/>
          <w:bCs/>
          <w:sz w:val="24"/>
          <w:szCs w:val="24"/>
        </w:rPr>
        <w:t xml:space="preserve"> centavos</w:t>
      </w:r>
      <w:r w:rsidRPr="00324C71">
        <w:rPr>
          <w:rFonts w:eastAsiaTheme="minorEastAsia"/>
          <w:b/>
          <w:bCs/>
          <w:sz w:val="24"/>
          <w:szCs w:val="24"/>
        </w:rPr>
        <w:t>)</w:t>
      </w:r>
      <w:r w:rsidRPr="4F2C0FBD">
        <w:rPr>
          <w:rFonts w:eastAsiaTheme="minorEastAsia"/>
          <w:b/>
          <w:bCs/>
          <w:sz w:val="24"/>
          <w:szCs w:val="24"/>
        </w:rPr>
        <w:t>.</w:t>
      </w:r>
    </w:p>
    <w:p w14:paraId="6956F497" w14:textId="77777777" w:rsidR="008472C0" w:rsidRPr="009B7685" w:rsidRDefault="008472C0" w:rsidP="4F2C0FBD">
      <w:pPr>
        <w:pStyle w:val="Ttulo1"/>
        <w:rPr>
          <w:rFonts w:asciiTheme="minorHAnsi" w:eastAsiaTheme="minorEastAsia" w:hAnsiTheme="minorHAnsi" w:cstheme="minorBidi"/>
        </w:rPr>
      </w:pPr>
      <w:bookmarkStart w:id="45" w:name="_Toc333336018"/>
      <w:bookmarkStart w:id="46" w:name="_Toc534884816"/>
      <w:r w:rsidRPr="4F2C0FBD">
        <w:rPr>
          <w:rFonts w:asciiTheme="minorHAnsi" w:eastAsiaTheme="minorEastAsia" w:hAnsiTheme="minorHAnsi" w:cstheme="minorBidi"/>
        </w:rPr>
        <w:t>SUSTENTAÇÃO DO CONTRATO</w:t>
      </w:r>
      <w:bookmarkEnd w:id="45"/>
      <w:r w:rsidRPr="4F2C0FBD">
        <w:rPr>
          <w:rFonts w:asciiTheme="minorHAnsi" w:eastAsiaTheme="minorEastAsia" w:hAnsiTheme="minorHAnsi" w:cstheme="minorBidi"/>
        </w:rPr>
        <w:t xml:space="preserve"> (Art.15)</w:t>
      </w:r>
      <w:bookmarkEnd w:id="46"/>
    </w:p>
    <w:p w14:paraId="47F226DD" w14:textId="77777777" w:rsidR="008472C0" w:rsidRPr="009B7685" w:rsidRDefault="008472C0" w:rsidP="4F2C0FBD">
      <w:pPr>
        <w:pStyle w:val="Ttulo2"/>
        <w:spacing w:after="120"/>
        <w:ind w:left="578" w:hanging="578"/>
        <w:rPr>
          <w:rFonts w:asciiTheme="minorHAnsi" w:eastAsiaTheme="minorEastAsia" w:hAnsiTheme="minorHAnsi" w:cstheme="minorBidi"/>
        </w:rPr>
      </w:pPr>
      <w:bookmarkStart w:id="47" w:name="_Toc333336019"/>
      <w:bookmarkStart w:id="48" w:name="_Toc534884817"/>
      <w:r w:rsidRPr="4F2C0FBD">
        <w:rPr>
          <w:rFonts w:asciiTheme="minorHAnsi" w:eastAsiaTheme="minorEastAsia" w:hAnsiTheme="minorHAnsi" w:cstheme="minorBidi"/>
        </w:rPr>
        <w:t>Recursos Materiais e Humanos</w:t>
      </w:r>
      <w:bookmarkEnd w:id="47"/>
      <w:r w:rsidRPr="4F2C0FBD">
        <w:rPr>
          <w:rFonts w:asciiTheme="minorHAnsi" w:eastAsiaTheme="minorEastAsia" w:hAnsiTheme="minorHAnsi" w:cstheme="minorBidi"/>
        </w:rPr>
        <w:t xml:space="preserve"> (Art. 15, I)</w:t>
      </w:r>
      <w:bookmarkEnd w:id="48"/>
    </w:p>
    <w:p w14:paraId="2FC9B63E"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Recursos materiais</w:t>
      </w:r>
      <w:r w:rsidRPr="4F2C0FBD">
        <w:rPr>
          <w:rFonts w:eastAsiaTheme="minorEastAsia"/>
          <w:sz w:val="24"/>
          <w:szCs w:val="24"/>
        </w:rPr>
        <w:t>: Todos os recursos materiais necessários para a instalação dos equipamentos e execução de todos os serviços acima previstos deverão ser fornecidos pela empresa, sendo que os equipamentos devem ser entregues em pleno funcionamento, sem necessidade de aquisição de nenhum acessório ou suprimento adicional por parte deste PJMT.</w:t>
      </w:r>
    </w:p>
    <w:p w14:paraId="686126B6"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Recursos humanos</w:t>
      </w:r>
      <w:r w:rsidRPr="4F2C0FBD">
        <w:rPr>
          <w:rFonts w:eastAsiaTheme="minorEastAsia"/>
          <w:sz w:val="24"/>
          <w:szCs w:val="24"/>
        </w:rPr>
        <w:t xml:space="preserve">: A instalação física, configuração, </w:t>
      </w:r>
      <w:r w:rsidRPr="4F2C0FBD">
        <w:rPr>
          <w:rFonts w:eastAsiaTheme="minorEastAsia"/>
          <w:i/>
          <w:iCs/>
          <w:sz w:val="24"/>
          <w:szCs w:val="24"/>
        </w:rPr>
        <w:t>moving</w:t>
      </w:r>
      <w:r w:rsidRPr="4F2C0FBD">
        <w:rPr>
          <w:rFonts w:eastAsiaTheme="minorEastAsia"/>
          <w:sz w:val="24"/>
          <w:szCs w:val="24"/>
        </w:rPr>
        <w:t xml:space="preserve"> dos VSPs e AMS 1000, capacitação, garantia e suporte técnico dos equipamentos deverão ser feitas pela Contratada, com o acompanhamento da conformidade legal e técnica da execução das atividades pelo Fiscal do Contrato. </w:t>
      </w:r>
    </w:p>
    <w:p w14:paraId="72170B2D" w14:textId="77777777" w:rsidR="008472C0" w:rsidRPr="009B7685" w:rsidRDefault="008472C0" w:rsidP="4F2C0FBD">
      <w:pPr>
        <w:pStyle w:val="Ttulo2"/>
        <w:spacing w:before="0"/>
        <w:ind w:left="578" w:hanging="578"/>
        <w:rPr>
          <w:rFonts w:asciiTheme="minorHAnsi" w:eastAsiaTheme="minorEastAsia" w:hAnsiTheme="minorHAnsi" w:cstheme="minorBidi"/>
        </w:rPr>
      </w:pPr>
      <w:bookmarkStart w:id="49" w:name="_Toc508564251"/>
      <w:bookmarkStart w:id="50" w:name="_Toc534884818"/>
      <w:r w:rsidRPr="4F2C0FBD">
        <w:rPr>
          <w:rFonts w:asciiTheme="minorHAnsi" w:eastAsiaTheme="minorEastAsia" w:hAnsiTheme="minorHAnsi" w:cstheme="minorBidi"/>
        </w:rPr>
        <w:t>Qualificação técnica dos profissionais</w:t>
      </w:r>
      <w:bookmarkEnd w:id="49"/>
      <w:bookmarkEnd w:id="50"/>
    </w:p>
    <w:p w14:paraId="7914AF3C"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A comprovação da qualificação técnica para o serviço de instalação, configuração, garantia, manutenção, suporte técnico da solução e capacitação, deverá ser apresentada no ato de assinatura do contrato. </w:t>
      </w:r>
    </w:p>
    <w:p w14:paraId="29939499"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Para todos os técnicos envolvidos no processo de instalação, configuração, garantia, manutenção, suporte técnico e capacitação da solução, será exigido:</w:t>
      </w:r>
    </w:p>
    <w:p w14:paraId="1DB8788B" w14:textId="77777777" w:rsidR="008472C0" w:rsidRPr="009B7685" w:rsidRDefault="4F2C0FBD" w:rsidP="4F2C0FBD">
      <w:pPr>
        <w:pStyle w:val="Primeirorecuodecorpodetexto"/>
        <w:numPr>
          <w:ilvl w:val="0"/>
          <w:numId w:val="4"/>
        </w:numPr>
        <w:spacing w:after="120"/>
        <w:ind w:left="1418" w:hanging="425"/>
        <w:rPr>
          <w:rFonts w:eastAsiaTheme="minorEastAsia"/>
          <w:sz w:val="24"/>
          <w:szCs w:val="24"/>
        </w:rPr>
      </w:pPr>
      <w:r w:rsidRPr="4F2C0FBD">
        <w:rPr>
          <w:rFonts w:eastAsiaTheme="minorEastAsia"/>
          <w:sz w:val="24"/>
          <w:szCs w:val="24"/>
        </w:rPr>
        <w:t>Certificado de conclusão de curso fornecido pelo fabricante, em solução de armazenamento de dados, com no mínimo 10 horas.</w:t>
      </w:r>
    </w:p>
    <w:p w14:paraId="48F5207F" w14:textId="77777777" w:rsidR="008472C0" w:rsidRPr="009B7685" w:rsidRDefault="4F2C0FBD" w:rsidP="4F2C0FBD">
      <w:pPr>
        <w:pStyle w:val="Primeirorecuodecorpodetexto"/>
        <w:numPr>
          <w:ilvl w:val="0"/>
          <w:numId w:val="4"/>
        </w:numPr>
        <w:spacing w:after="120"/>
        <w:ind w:left="1418" w:hanging="425"/>
        <w:rPr>
          <w:rFonts w:eastAsiaTheme="minorEastAsia"/>
          <w:sz w:val="24"/>
          <w:szCs w:val="24"/>
        </w:rPr>
      </w:pPr>
      <w:r w:rsidRPr="4F2C0FBD">
        <w:rPr>
          <w:rFonts w:eastAsiaTheme="minorEastAsia"/>
          <w:sz w:val="24"/>
          <w:szCs w:val="24"/>
        </w:rPr>
        <w:t>Certificado de conclusão de curso fornecido pelo fabricante, na instalação dos equipamentos ofertados, com base no descritivo técnico da solução constante no Anexo C.</w:t>
      </w:r>
    </w:p>
    <w:p w14:paraId="7EEC8438" w14:textId="77777777" w:rsidR="008472C0" w:rsidRPr="009B7685" w:rsidRDefault="008472C0" w:rsidP="4F2C0FBD">
      <w:pPr>
        <w:pStyle w:val="Ttulo2"/>
        <w:spacing w:before="0"/>
        <w:ind w:left="578" w:hanging="578"/>
        <w:rPr>
          <w:rFonts w:asciiTheme="minorHAnsi" w:eastAsiaTheme="minorEastAsia" w:hAnsiTheme="minorHAnsi" w:cstheme="minorBidi"/>
        </w:rPr>
      </w:pPr>
      <w:bookmarkStart w:id="51" w:name="_Toc333336020"/>
      <w:bookmarkStart w:id="52" w:name="_Toc534884819"/>
      <w:r w:rsidRPr="4F2C0FBD">
        <w:rPr>
          <w:rFonts w:asciiTheme="minorHAnsi" w:eastAsiaTheme="minorEastAsia" w:hAnsiTheme="minorHAnsi" w:cstheme="minorBidi"/>
        </w:rPr>
        <w:t>Descontinuidade</w:t>
      </w:r>
      <w:bookmarkEnd w:id="51"/>
      <w:r w:rsidRPr="4F2C0FBD">
        <w:rPr>
          <w:rFonts w:asciiTheme="minorHAnsi" w:eastAsiaTheme="minorEastAsia" w:hAnsiTheme="minorHAnsi" w:cstheme="minorBidi"/>
        </w:rPr>
        <w:t xml:space="preserve"> do Fornecimento (Art. 15, II)</w:t>
      </w:r>
      <w:bookmarkEnd w:id="52"/>
    </w:p>
    <w:p w14:paraId="614294E2" w14:textId="4CBED1AE" w:rsidR="008472C0" w:rsidRPr="009B7685" w:rsidRDefault="4F2C0FBD" w:rsidP="4F2C0FBD">
      <w:pPr>
        <w:pStyle w:val="Primeirorecuodecorpodetexto"/>
        <w:spacing w:after="120"/>
        <w:ind w:firstLine="1134"/>
        <w:rPr>
          <w:rFonts w:eastAsiaTheme="minorEastAsia"/>
          <w:strike/>
          <w:color w:val="FF0000"/>
          <w:sz w:val="24"/>
          <w:szCs w:val="24"/>
        </w:rPr>
      </w:pPr>
      <w:r w:rsidRPr="4F2C0FBD">
        <w:rPr>
          <w:rFonts w:eastAsiaTheme="minorEastAsia"/>
          <w:sz w:val="24"/>
          <w:szCs w:val="24"/>
        </w:rPr>
        <w:t>Se, por qualquer eventualidade, a empresa não mais fornecer o serviço contratado, será necessária aplicação de penalidades contratuais e elaboração de novo processo de contratação.</w:t>
      </w:r>
    </w:p>
    <w:p w14:paraId="52567B91" w14:textId="77777777" w:rsidR="008472C0" w:rsidRPr="009B7685" w:rsidRDefault="008472C0" w:rsidP="4F2C0FBD">
      <w:pPr>
        <w:pStyle w:val="Ttulo2"/>
        <w:spacing w:before="0"/>
        <w:ind w:left="578" w:hanging="578"/>
        <w:rPr>
          <w:rFonts w:asciiTheme="minorHAnsi" w:eastAsiaTheme="minorEastAsia" w:hAnsiTheme="minorHAnsi" w:cstheme="minorBidi"/>
        </w:rPr>
      </w:pPr>
      <w:bookmarkStart w:id="53" w:name="_Toc359341420"/>
      <w:bookmarkStart w:id="54" w:name="_Toc359341527"/>
      <w:bookmarkStart w:id="55" w:name="_Toc359946183"/>
      <w:bookmarkStart w:id="56" w:name="_Toc359946285"/>
      <w:bookmarkStart w:id="57" w:name="_Toc333336021"/>
      <w:bookmarkStart w:id="58" w:name="_Toc534884820"/>
      <w:bookmarkEnd w:id="53"/>
      <w:bookmarkEnd w:id="54"/>
      <w:bookmarkEnd w:id="55"/>
      <w:bookmarkEnd w:id="56"/>
      <w:r w:rsidRPr="4F2C0FBD">
        <w:rPr>
          <w:rFonts w:asciiTheme="minorHAnsi" w:eastAsiaTheme="minorEastAsia" w:hAnsiTheme="minorHAnsi" w:cstheme="minorBidi"/>
        </w:rPr>
        <w:t>Transição Contratual</w:t>
      </w:r>
      <w:bookmarkEnd w:id="57"/>
      <w:r w:rsidRPr="4F2C0FBD">
        <w:rPr>
          <w:rFonts w:asciiTheme="minorHAnsi" w:eastAsiaTheme="minorEastAsia" w:hAnsiTheme="minorHAnsi" w:cstheme="minorBidi"/>
        </w:rPr>
        <w:t xml:space="preserve"> (Art. 15, III, a, b, c, d, e)</w:t>
      </w:r>
      <w:bookmarkEnd w:id="58"/>
    </w:p>
    <w:p w14:paraId="5ACF3EDE"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Conforme explanado alhures, na vigência do último ano da garantia de 36 meses, este Poder Judiciário deverá antecipar-se fazendo novo projeto de aquisição, que permita a expansão da capacidade de armazenamento, seja com a solução que se pretende contratar ou com nova, caso necessário, assim como a renovação / prorrogação do serviço de suporte técnico e garantia dos </w:t>
      </w:r>
      <w:r w:rsidRPr="4F2C0FBD">
        <w:rPr>
          <w:rFonts w:eastAsiaTheme="minorEastAsia"/>
          <w:i/>
          <w:iCs/>
          <w:sz w:val="24"/>
          <w:szCs w:val="24"/>
        </w:rPr>
        <w:t>storages</w:t>
      </w:r>
      <w:r w:rsidRPr="4F2C0FBD">
        <w:rPr>
          <w:rFonts w:eastAsiaTheme="minorEastAsia"/>
          <w:sz w:val="24"/>
          <w:szCs w:val="24"/>
        </w:rPr>
        <w:t>, mantendo-se a proteção dos serviços essenciais do PJMT pela estrutura armazenamento de dados projetado neste estudo.</w:t>
      </w:r>
    </w:p>
    <w:p w14:paraId="5BABB8A4" w14:textId="77777777" w:rsidR="008472C0" w:rsidRPr="009B7685" w:rsidRDefault="008472C0" w:rsidP="4F2C0FBD">
      <w:pPr>
        <w:pStyle w:val="Ttulo2"/>
        <w:spacing w:before="0"/>
        <w:ind w:left="578" w:hanging="578"/>
        <w:rPr>
          <w:rFonts w:asciiTheme="minorHAnsi" w:eastAsiaTheme="minorEastAsia" w:hAnsiTheme="minorHAnsi" w:cstheme="minorBidi"/>
        </w:rPr>
      </w:pPr>
      <w:bookmarkStart w:id="59" w:name="_Toc534884821"/>
      <w:bookmarkStart w:id="60" w:name="_Toc333336022"/>
      <w:r w:rsidRPr="4F2C0FBD">
        <w:rPr>
          <w:rFonts w:asciiTheme="minorHAnsi" w:eastAsiaTheme="minorEastAsia" w:hAnsiTheme="minorHAnsi" w:cstheme="minorBidi"/>
        </w:rPr>
        <w:t>Estratégia de Independência Tecnológica (Art. 15, IV, a, b)</w:t>
      </w:r>
      <w:bookmarkEnd w:id="59"/>
    </w:p>
    <w:p w14:paraId="65D75E4B" w14:textId="77777777" w:rsidR="008472C0" w:rsidRPr="009B7685" w:rsidRDefault="4F2C0FBD" w:rsidP="4F2C0FBD">
      <w:pPr>
        <w:pStyle w:val="Primeirorecuodecorpodetexto"/>
        <w:spacing w:after="0"/>
        <w:ind w:firstLine="709"/>
        <w:rPr>
          <w:rFonts w:eastAsiaTheme="minorEastAsia"/>
          <w:sz w:val="24"/>
          <w:szCs w:val="24"/>
        </w:rPr>
      </w:pPr>
      <w:r w:rsidRPr="4F2C0FBD">
        <w:rPr>
          <w:rFonts w:eastAsiaTheme="minorEastAsia"/>
          <w:sz w:val="24"/>
          <w:szCs w:val="24"/>
        </w:rPr>
        <w:t xml:space="preserve">Não se aplica ao contexto desta contratação. </w:t>
      </w:r>
    </w:p>
    <w:p w14:paraId="1249409C" w14:textId="77777777" w:rsidR="008472C0" w:rsidRPr="009B7685" w:rsidRDefault="008472C0" w:rsidP="008472C0">
      <w:pPr>
        <w:pStyle w:val="Primeirorecuodecorpodetexto"/>
        <w:spacing w:after="0"/>
        <w:ind w:firstLine="709"/>
        <w:rPr>
          <w:rFonts w:cstheme="minorHAnsi"/>
          <w:sz w:val="24"/>
          <w:szCs w:val="24"/>
        </w:rPr>
      </w:pPr>
    </w:p>
    <w:p w14:paraId="1F406097" w14:textId="77777777" w:rsidR="008472C0" w:rsidRPr="009B7685" w:rsidRDefault="008472C0" w:rsidP="4F2C0FBD">
      <w:pPr>
        <w:pStyle w:val="Ttulo2"/>
        <w:spacing w:before="0"/>
        <w:ind w:left="578" w:hanging="578"/>
        <w:rPr>
          <w:rFonts w:asciiTheme="minorHAnsi" w:eastAsiaTheme="minorEastAsia" w:hAnsiTheme="minorHAnsi" w:cstheme="minorBidi"/>
        </w:rPr>
      </w:pPr>
      <w:bookmarkStart w:id="61" w:name="_Toc508564257"/>
      <w:bookmarkStart w:id="62" w:name="_Toc534884822"/>
      <w:r w:rsidRPr="4F2C0FBD">
        <w:rPr>
          <w:rFonts w:asciiTheme="minorHAnsi" w:eastAsiaTheme="minorEastAsia" w:hAnsiTheme="minorHAnsi" w:cstheme="minorBidi"/>
        </w:rPr>
        <w:t>Direitos de Propriedade Intelectual e Autorais</w:t>
      </w:r>
      <w:bookmarkEnd w:id="61"/>
      <w:bookmarkEnd w:id="62"/>
    </w:p>
    <w:p w14:paraId="03C63203" w14:textId="77777777" w:rsidR="008472C0" w:rsidRPr="009B7685" w:rsidRDefault="4F2C0FBD" w:rsidP="4F2C0FBD">
      <w:pPr>
        <w:pStyle w:val="Primeirorecuodecorpodetexto"/>
        <w:spacing w:after="0"/>
        <w:ind w:firstLine="709"/>
        <w:rPr>
          <w:rFonts w:eastAsiaTheme="minorEastAsia"/>
          <w:sz w:val="24"/>
          <w:szCs w:val="24"/>
        </w:rPr>
      </w:pPr>
      <w:r w:rsidRPr="4F2C0FBD">
        <w:rPr>
          <w:rFonts w:eastAsiaTheme="minorEastAsia"/>
          <w:sz w:val="24"/>
          <w:szCs w:val="24"/>
        </w:rPr>
        <w:t xml:space="preserve">Não se aplica ao contexto desta contratação. </w:t>
      </w:r>
    </w:p>
    <w:p w14:paraId="6579568F" w14:textId="77777777" w:rsidR="008472C0" w:rsidRPr="009B7685" w:rsidRDefault="008472C0" w:rsidP="4F2C0FBD">
      <w:pPr>
        <w:pStyle w:val="Ttulo1"/>
        <w:rPr>
          <w:rFonts w:asciiTheme="minorHAnsi" w:eastAsiaTheme="minorEastAsia" w:hAnsiTheme="minorHAnsi" w:cstheme="minorBidi"/>
        </w:rPr>
      </w:pPr>
      <w:bookmarkStart w:id="63" w:name="_Toc534884823"/>
      <w:r w:rsidRPr="4F2C0FBD">
        <w:rPr>
          <w:rFonts w:asciiTheme="minorHAnsi" w:eastAsiaTheme="minorEastAsia" w:hAnsiTheme="minorHAnsi" w:cstheme="minorBidi"/>
        </w:rPr>
        <w:t>ESTRATÉGIA PARA A CONTRATAÇÃO (Art.16)</w:t>
      </w:r>
      <w:bookmarkEnd w:id="63"/>
    </w:p>
    <w:p w14:paraId="7AFA9200" w14:textId="77777777" w:rsidR="008472C0" w:rsidRPr="009B7685" w:rsidRDefault="008472C0" w:rsidP="4F2C0FBD">
      <w:pPr>
        <w:pStyle w:val="Ttulo2"/>
        <w:spacing w:after="120"/>
        <w:ind w:left="578" w:hanging="578"/>
        <w:rPr>
          <w:rFonts w:asciiTheme="minorHAnsi" w:eastAsiaTheme="minorEastAsia" w:hAnsiTheme="minorHAnsi" w:cstheme="minorBidi"/>
        </w:rPr>
      </w:pPr>
      <w:bookmarkStart w:id="64" w:name="_Toc534884824"/>
      <w:r w:rsidRPr="4F2C0FBD">
        <w:rPr>
          <w:rFonts w:asciiTheme="minorHAnsi" w:eastAsiaTheme="minorEastAsia" w:hAnsiTheme="minorHAnsi" w:cstheme="minorBidi"/>
        </w:rPr>
        <w:t>Natureza do Objeto (Art. 16, I)</w:t>
      </w:r>
      <w:bookmarkEnd w:id="64"/>
    </w:p>
    <w:p w14:paraId="79BFF2F9"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A contratação objeto deste Estudo Preliminar constitui solução de Tecnologia da Informação, composta por bens e serviços, de necessidade permanente, para garantia do funcionamento seguro de armazenamento de dados do PJMT.</w:t>
      </w:r>
    </w:p>
    <w:p w14:paraId="53D926BA" w14:textId="77777777" w:rsidR="008472C0" w:rsidRPr="009B7685" w:rsidRDefault="008472C0" w:rsidP="4F2C0FBD">
      <w:pPr>
        <w:pStyle w:val="Ttulo2"/>
        <w:spacing w:after="120"/>
        <w:ind w:left="578" w:hanging="578"/>
        <w:rPr>
          <w:rFonts w:asciiTheme="minorHAnsi" w:eastAsiaTheme="minorEastAsia" w:hAnsiTheme="minorHAnsi" w:cstheme="minorBidi"/>
        </w:rPr>
      </w:pPr>
      <w:bookmarkStart w:id="65" w:name="_Toc534884825"/>
      <w:r w:rsidRPr="4F2C0FBD">
        <w:rPr>
          <w:rFonts w:asciiTheme="minorHAnsi" w:eastAsiaTheme="minorEastAsia" w:hAnsiTheme="minorHAnsi" w:cstheme="minorBidi"/>
        </w:rPr>
        <w:t>Parcelamento do Objeto (Art. 16, II)</w:t>
      </w:r>
      <w:bookmarkEnd w:id="65"/>
    </w:p>
    <w:p w14:paraId="4CAF998B" w14:textId="67DC95BB" w:rsidR="008472C0" w:rsidRPr="006C25AF" w:rsidRDefault="4F2C0FBD" w:rsidP="4F2C0FBD">
      <w:pPr>
        <w:pStyle w:val="Primeirorecuodecorpodetexto"/>
        <w:spacing w:after="120"/>
        <w:ind w:firstLine="709"/>
        <w:rPr>
          <w:rFonts w:eastAsiaTheme="minorEastAsia"/>
          <w:color w:val="FF0000"/>
          <w:sz w:val="24"/>
          <w:szCs w:val="24"/>
        </w:rPr>
      </w:pPr>
      <w:r w:rsidRPr="4F2C0FBD">
        <w:rPr>
          <w:rFonts w:eastAsiaTheme="minorEastAsia"/>
          <w:sz w:val="24"/>
          <w:szCs w:val="24"/>
        </w:rPr>
        <w:t xml:space="preserve">O objeto desse Estudo Preliminar constitui lote único, composto </w:t>
      </w:r>
      <w:r w:rsidRPr="00ED1A87">
        <w:rPr>
          <w:rFonts w:eastAsiaTheme="minorEastAsia"/>
          <w:sz w:val="24"/>
          <w:szCs w:val="24"/>
        </w:rPr>
        <w:t xml:space="preserve">de </w:t>
      </w:r>
      <w:r w:rsidR="00ED1A87" w:rsidRPr="00ED1A87">
        <w:rPr>
          <w:rFonts w:eastAsiaTheme="minorEastAsia"/>
          <w:sz w:val="24"/>
          <w:szCs w:val="24"/>
        </w:rPr>
        <w:t>04</w:t>
      </w:r>
      <w:r w:rsidRPr="00ED1A87">
        <w:rPr>
          <w:rFonts w:eastAsiaTheme="minorEastAsia"/>
          <w:sz w:val="24"/>
          <w:szCs w:val="24"/>
        </w:rPr>
        <w:t xml:space="preserve"> (</w:t>
      </w:r>
      <w:r w:rsidR="00ED1A87" w:rsidRPr="00ED1A87">
        <w:rPr>
          <w:rFonts w:eastAsiaTheme="minorEastAsia"/>
          <w:sz w:val="24"/>
          <w:szCs w:val="24"/>
        </w:rPr>
        <w:t>quatro</w:t>
      </w:r>
      <w:r w:rsidRPr="00ED1A87">
        <w:rPr>
          <w:rFonts w:eastAsiaTheme="minorEastAsia"/>
          <w:sz w:val="24"/>
          <w:szCs w:val="24"/>
        </w:rPr>
        <w:t>) itens:</w:t>
      </w:r>
      <w:r w:rsidR="00ED1A87">
        <w:rPr>
          <w:rFonts w:eastAsiaTheme="minorEastAsia"/>
          <w:color w:val="FF0000"/>
          <w:sz w:val="24"/>
          <w:szCs w:val="24"/>
        </w:rPr>
        <w:t xml:space="preserve"> </w:t>
      </w:r>
    </w:p>
    <w:p w14:paraId="07A23986" w14:textId="1F392E62"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 xml:space="preserve">ITEM 1: </w:t>
      </w:r>
      <w:r w:rsidRPr="4F2C0FBD">
        <w:rPr>
          <w:rFonts w:eastAsiaTheme="minorEastAsia"/>
          <w:sz w:val="24"/>
          <w:szCs w:val="24"/>
        </w:rPr>
        <w:t xml:space="preserve">Aquisição, instalação </w:t>
      </w:r>
      <w:r w:rsidR="00F37E9C">
        <w:rPr>
          <w:rFonts w:eastAsiaTheme="minorEastAsia"/>
          <w:sz w:val="24"/>
          <w:szCs w:val="24"/>
        </w:rPr>
        <w:t xml:space="preserve">(com </w:t>
      </w:r>
      <w:r w:rsidR="00F37E9C" w:rsidRPr="00F37E9C">
        <w:rPr>
          <w:rFonts w:eastAsiaTheme="minorEastAsia"/>
          <w:i/>
          <w:sz w:val="24"/>
          <w:szCs w:val="24"/>
        </w:rPr>
        <w:t>moving</w:t>
      </w:r>
      <w:r w:rsidR="00F37E9C">
        <w:rPr>
          <w:rFonts w:eastAsiaTheme="minorEastAsia"/>
          <w:i/>
          <w:sz w:val="24"/>
          <w:szCs w:val="24"/>
        </w:rPr>
        <w:t xml:space="preserve">, </w:t>
      </w:r>
      <w:r w:rsidR="00F37E9C">
        <w:rPr>
          <w:rFonts w:eastAsiaTheme="minorEastAsia"/>
          <w:sz w:val="24"/>
          <w:szCs w:val="24"/>
        </w:rPr>
        <w:t xml:space="preserve">conforme descrito no Anexo B) </w:t>
      </w:r>
      <w:r w:rsidRPr="00F37E9C">
        <w:rPr>
          <w:rFonts w:eastAsiaTheme="minorEastAsia"/>
          <w:sz w:val="24"/>
          <w:szCs w:val="24"/>
        </w:rPr>
        <w:t>e</w:t>
      </w:r>
      <w:r w:rsidRPr="4F2C0FBD">
        <w:rPr>
          <w:rFonts w:eastAsiaTheme="minorEastAsia"/>
          <w:sz w:val="24"/>
          <w:szCs w:val="24"/>
        </w:rPr>
        <w:t xml:space="preserve"> configuração de 2 (duas) soluções de armazenamento de dados com capacidade mínima de 1 PB (um Petabyte), escaláveis, cada uma com Rack de 19’’ da própria fabricante. Uma unidade deverá ser instalada no Datacenter do Fórum da Capital e outra no Datacenter do Tribunal de Justiça de Mato Grosso.</w:t>
      </w:r>
    </w:p>
    <w:p w14:paraId="75857CDA" w14:textId="77777777" w:rsidR="008472C0"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A solicitação do rack como acessório do item 1 se dá pela indispensabilidade de compatibilidade com a solução, haja vista que cada fabricante possui arquitetura própria da solução ofertada.</w:t>
      </w:r>
    </w:p>
    <w:p w14:paraId="18C8B1DF" w14:textId="51A61CBD"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 xml:space="preserve">ITEM 2: </w:t>
      </w:r>
      <w:r w:rsidR="00B6041B" w:rsidRPr="004E5739">
        <w:rPr>
          <w:rFonts w:eastAsiaTheme="minorEastAsia"/>
          <w:sz w:val="24"/>
          <w:szCs w:val="24"/>
        </w:rPr>
        <w:t xml:space="preserve">Duas unidades de expansão da capacidade de armazenamento de dados da solução do Item 1, com volume mínimo de 512 TB (quinhentos e doze Terabytes), com suporte técnico e garantia </w:t>
      </w:r>
      <w:r w:rsidR="00B6041B">
        <w:rPr>
          <w:rFonts w:eastAsiaTheme="minorEastAsia"/>
          <w:sz w:val="24"/>
          <w:szCs w:val="24"/>
        </w:rPr>
        <w:t>por 24 (vinte e quatro) meses</w:t>
      </w:r>
      <w:r w:rsidR="00237DCD" w:rsidRPr="00237DCD">
        <w:rPr>
          <w:rFonts w:eastAsiaTheme="minorEastAsia"/>
          <w:sz w:val="24"/>
          <w:szCs w:val="24"/>
        </w:rPr>
        <w:t>.</w:t>
      </w:r>
    </w:p>
    <w:p w14:paraId="665C6C4F" w14:textId="15085BAB" w:rsidR="008472C0" w:rsidRPr="009B7685" w:rsidRDefault="00237DCD" w:rsidP="4F2C0FBD">
      <w:pPr>
        <w:pStyle w:val="Primeirorecuodecorpodetexto"/>
        <w:spacing w:after="120"/>
        <w:ind w:firstLine="709"/>
        <w:rPr>
          <w:rFonts w:eastAsiaTheme="minorEastAsia"/>
          <w:sz w:val="24"/>
          <w:szCs w:val="24"/>
        </w:rPr>
      </w:pPr>
      <w:r>
        <w:rPr>
          <w:rFonts w:eastAsiaTheme="minorEastAsia"/>
          <w:b/>
          <w:bCs/>
          <w:sz w:val="24"/>
          <w:szCs w:val="24"/>
        </w:rPr>
        <w:t>ITEM 3</w:t>
      </w:r>
      <w:r w:rsidR="4F2C0FBD" w:rsidRPr="4F2C0FBD">
        <w:rPr>
          <w:rFonts w:eastAsiaTheme="minorEastAsia"/>
          <w:b/>
          <w:bCs/>
          <w:sz w:val="24"/>
          <w:szCs w:val="24"/>
        </w:rPr>
        <w:t xml:space="preserve">: </w:t>
      </w:r>
      <w:r w:rsidR="00B6041B" w:rsidRPr="004E5739">
        <w:rPr>
          <w:rFonts w:eastAsiaTheme="minorEastAsia"/>
          <w:sz w:val="24"/>
          <w:szCs w:val="24"/>
        </w:rPr>
        <w:t>Duas unidades de expansão da capacidade de armazenamento de dados da solução do Item 1, com volume mínimo de 512 TB (quinhentos e doze Terabytes)</w:t>
      </w:r>
      <w:r w:rsidR="00B6041B">
        <w:rPr>
          <w:rFonts w:eastAsiaTheme="minorEastAsia"/>
          <w:sz w:val="24"/>
          <w:szCs w:val="24"/>
        </w:rPr>
        <w:t xml:space="preserve">, </w:t>
      </w:r>
      <w:r w:rsidR="00B6041B" w:rsidRPr="004E5739">
        <w:rPr>
          <w:rFonts w:eastAsiaTheme="minorEastAsia"/>
          <w:sz w:val="24"/>
          <w:szCs w:val="24"/>
        </w:rPr>
        <w:t xml:space="preserve">com suporte técnico e garantia </w:t>
      </w:r>
      <w:r w:rsidR="00B6041B">
        <w:rPr>
          <w:rFonts w:eastAsiaTheme="minorEastAsia"/>
          <w:sz w:val="24"/>
          <w:szCs w:val="24"/>
        </w:rPr>
        <w:t>por 12 (doze) meses</w:t>
      </w:r>
      <w:r w:rsidRPr="00237DCD">
        <w:rPr>
          <w:rFonts w:eastAsiaTheme="minorEastAsia"/>
          <w:sz w:val="24"/>
          <w:szCs w:val="24"/>
        </w:rPr>
        <w:t>.</w:t>
      </w:r>
    </w:p>
    <w:p w14:paraId="22436F47" w14:textId="1F8379E3"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b/>
          <w:bCs/>
          <w:sz w:val="24"/>
          <w:szCs w:val="24"/>
        </w:rPr>
        <w:t xml:space="preserve">ITEM </w:t>
      </w:r>
      <w:r w:rsidR="00237DCD">
        <w:rPr>
          <w:rFonts w:eastAsiaTheme="minorEastAsia"/>
          <w:b/>
          <w:bCs/>
          <w:sz w:val="24"/>
          <w:szCs w:val="24"/>
        </w:rPr>
        <w:t>4</w:t>
      </w:r>
      <w:r w:rsidRPr="4F2C0FBD">
        <w:rPr>
          <w:rFonts w:eastAsiaTheme="minorEastAsia"/>
          <w:b/>
          <w:bCs/>
          <w:sz w:val="24"/>
          <w:szCs w:val="24"/>
        </w:rPr>
        <w:t xml:space="preserve">: </w:t>
      </w:r>
      <w:r w:rsidRPr="4F2C0FBD">
        <w:rPr>
          <w:rFonts w:eastAsiaTheme="minorEastAsia"/>
          <w:sz w:val="24"/>
          <w:szCs w:val="24"/>
        </w:rPr>
        <w:t>A Capacitação será realizada para 04 (quatro) servidores do PJMT, a serem definidos pelo fiscal técnico do contrato. A capacitação deverá ser realizada na Escola de Servidores do Tribunal de Justiça de Mato Grosso, após o aceite definitivo da solução do item 1.</w:t>
      </w:r>
    </w:p>
    <w:p w14:paraId="6BA89BFE"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A contratação permitirá aumentar a capacidade de armazenamento de dados do Poder Judiciário de Mato Grosso, através da aquisição de </w:t>
      </w:r>
      <w:r w:rsidRPr="4F2C0FBD">
        <w:rPr>
          <w:rFonts w:eastAsiaTheme="minorEastAsia"/>
          <w:i/>
          <w:iCs/>
          <w:sz w:val="24"/>
          <w:szCs w:val="24"/>
        </w:rPr>
        <w:t>storage</w:t>
      </w:r>
      <w:r w:rsidRPr="4F2C0FBD">
        <w:rPr>
          <w:rFonts w:eastAsiaTheme="minorEastAsia"/>
          <w:sz w:val="24"/>
          <w:szCs w:val="24"/>
        </w:rPr>
        <w:t xml:space="preserve"> com suporte técnico e garantia, por 36 (trinta e seis) meses.</w:t>
      </w:r>
    </w:p>
    <w:p w14:paraId="3E755596" w14:textId="6649BA67" w:rsidR="008472C0" w:rsidRPr="009B7685" w:rsidRDefault="00237DCD" w:rsidP="4F2C0FBD">
      <w:pPr>
        <w:pStyle w:val="Primeirorecuodecorpodetexto"/>
        <w:spacing w:after="120"/>
        <w:ind w:firstLine="709"/>
        <w:rPr>
          <w:rFonts w:eastAsiaTheme="minorEastAsia"/>
          <w:color w:val="FF0000"/>
          <w:sz w:val="24"/>
          <w:szCs w:val="24"/>
        </w:rPr>
      </w:pPr>
      <w:r>
        <w:rPr>
          <w:rFonts w:eastAsiaTheme="minorEastAsia"/>
          <w:sz w:val="24"/>
          <w:szCs w:val="24"/>
        </w:rPr>
        <w:t xml:space="preserve">Como o objeto se divide em </w:t>
      </w:r>
      <w:r w:rsidR="00ED1A87" w:rsidRPr="00ED1A87">
        <w:rPr>
          <w:rFonts w:eastAsiaTheme="minorEastAsia"/>
          <w:sz w:val="24"/>
          <w:szCs w:val="24"/>
        </w:rPr>
        <w:t>04</w:t>
      </w:r>
      <w:r w:rsidR="4F2C0FBD" w:rsidRPr="00ED1A87">
        <w:rPr>
          <w:rFonts w:eastAsiaTheme="minorEastAsia"/>
          <w:sz w:val="24"/>
          <w:szCs w:val="24"/>
        </w:rPr>
        <w:t xml:space="preserve"> (</w:t>
      </w:r>
      <w:r w:rsidR="00ED1A87" w:rsidRPr="00ED1A87">
        <w:rPr>
          <w:rFonts w:eastAsiaTheme="minorEastAsia"/>
          <w:sz w:val="24"/>
          <w:szCs w:val="24"/>
        </w:rPr>
        <w:t>quatr</w:t>
      </w:r>
      <w:r w:rsidRPr="00ED1A87">
        <w:rPr>
          <w:rFonts w:eastAsiaTheme="minorEastAsia"/>
          <w:sz w:val="24"/>
          <w:szCs w:val="24"/>
        </w:rPr>
        <w:t>o</w:t>
      </w:r>
      <w:r w:rsidR="4F2C0FBD" w:rsidRPr="00ED1A87">
        <w:rPr>
          <w:rFonts w:eastAsiaTheme="minorEastAsia"/>
          <w:sz w:val="24"/>
          <w:szCs w:val="24"/>
        </w:rPr>
        <w:t>) itens</w:t>
      </w:r>
      <w:r w:rsidR="4F2C0FBD" w:rsidRPr="4F2C0FBD">
        <w:rPr>
          <w:rFonts w:eastAsiaTheme="minorEastAsia"/>
          <w:sz w:val="24"/>
          <w:szCs w:val="24"/>
        </w:rPr>
        <w:t>, sendo cada item composto de bens ou serviços interdependentes entre si, a licitação pode ser considerada como técnica e economicamente indivisível, pois não poderiam ser contratadas separadamente, ainda que existam fornecedores para todos os itens. Isso porque, tecnicamente, existe interdependência entre os eventos contidos nos itens citados, fato que inviabiliza qualquer tentativa de parcelamento, não podendo, portanto,</w:t>
      </w:r>
      <w:r w:rsidR="4F2C0FBD" w:rsidRPr="4F2C0FBD">
        <w:rPr>
          <w:rFonts w:eastAsiaTheme="minorEastAsia"/>
          <w:color w:val="FF0000"/>
          <w:sz w:val="24"/>
          <w:szCs w:val="24"/>
        </w:rPr>
        <w:t xml:space="preserve"> </w:t>
      </w:r>
      <w:r w:rsidR="4F2C0FBD" w:rsidRPr="4F2C0FBD">
        <w:rPr>
          <w:rFonts w:eastAsiaTheme="minorEastAsia"/>
          <w:sz w:val="24"/>
          <w:szCs w:val="24"/>
        </w:rPr>
        <w:t>ocorrer adjudicação de cada item, de maneira individualizada, já que não pode existir empresas distintas vencedoras para cada item, devendo, assim, ocorrer à adjudicação a uma única empresa.</w:t>
      </w:r>
    </w:p>
    <w:p w14:paraId="36612E24" w14:textId="26A7676A" w:rsidR="008472C0" w:rsidRPr="009B7685" w:rsidRDefault="4F2C0FBD" w:rsidP="4F2C0FBD">
      <w:pPr>
        <w:pStyle w:val="Primeirorecuodecorpodetexto"/>
        <w:spacing w:after="120"/>
        <w:ind w:firstLine="1134"/>
        <w:rPr>
          <w:rFonts w:eastAsiaTheme="minorEastAsia"/>
          <w:sz w:val="24"/>
          <w:szCs w:val="24"/>
        </w:rPr>
      </w:pPr>
      <w:r w:rsidRPr="4F2C0FBD">
        <w:rPr>
          <w:rFonts w:eastAsiaTheme="minorEastAsia"/>
          <w:sz w:val="24"/>
          <w:szCs w:val="24"/>
        </w:rPr>
        <w:t xml:space="preserve">A adjudicação por itens </w:t>
      </w:r>
      <w:r w:rsidRPr="4F2C0FBD">
        <w:rPr>
          <w:rFonts w:eastAsiaTheme="minorEastAsia"/>
          <w:i/>
          <w:iCs/>
          <w:sz w:val="24"/>
          <w:szCs w:val="24"/>
        </w:rPr>
        <w:t>in casu</w:t>
      </w:r>
      <w:r w:rsidRPr="4F2C0FBD">
        <w:rPr>
          <w:rFonts w:eastAsiaTheme="minorEastAsia"/>
          <w:sz w:val="24"/>
          <w:szCs w:val="24"/>
        </w:rPr>
        <w:t>, gera prejuízo para o conjunto, po</w:t>
      </w:r>
      <w:r w:rsidRPr="00ED1A87">
        <w:rPr>
          <w:rFonts w:eastAsiaTheme="minorEastAsia"/>
          <w:sz w:val="24"/>
          <w:szCs w:val="24"/>
        </w:rPr>
        <w:t xml:space="preserve">is os </w:t>
      </w:r>
      <w:r w:rsidR="00F37E9C" w:rsidRPr="00ED1A87">
        <w:rPr>
          <w:rFonts w:eastAsiaTheme="minorEastAsia"/>
          <w:sz w:val="24"/>
          <w:szCs w:val="24"/>
        </w:rPr>
        <w:t>4</w:t>
      </w:r>
      <w:r w:rsidRPr="00ED1A87">
        <w:rPr>
          <w:rFonts w:eastAsiaTheme="minorEastAsia"/>
          <w:sz w:val="24"/>
          <w:szCs w:val="24"/>
        </w:rPr>
        <w:t xml:space="preserve"> (</w:t>
      </w:r>
      <w:r w:rsidR="00F37E9C" w:rsidRPr="00ED1A87">
        <w:rPr>
          <w:rFonts w:eastAsiaTheme="minorEastAsia"/>
          <w:sz w:val="24"/>
          <w:szCs w:val="24"/>
        </w:rPr>
        <w:t>quatro</w:t>
      </w:r>
      <w:r w:rsidRPr="00ED1A87">
        <w:rPr>
          <w:rFonts w:eastAsiaTheme="minorEastAsia"/>
          <w:sz w:val="24"/>
          <w:szCs w:val="24"/>
        </w:rPr>
        <w:t xml:space="preserve">) itens são </w:t>
      </w:r>
      <w:r w:rsidR="00ED1A87" w:rsidRPr="00ED1A87">
        <w:rPr>
          <w:rFonts w:eastAsiaTheme="minorEastAsia"/>
          <w:sz w:val="24"/>
          <w:szCs w:val="24"/>
        </w:rPr>
        <w:t xml:space="preserve">compostos por </w:t>
      </w:r>
      <w:r w:rsidRPr="00ED1A87">
        <w:rPr>
          <w:rFonts w:eastAsiaTheme="minorEastAsia"/>
          <w:sz w:val="24"/>
          <w:szCs w:val="24"/>
        </w:rPr>
        <w:t xml:space="preserve">equipamentos </w:t>
      </w:r>
      <w:r w:rsidRPr="4F2C0FBD">
        <w:rPr>
          <w:rFonts w:eastAsiaTheme="minorEastAsia"/>
          <w:sz w:val="24"/>
          <w:szCs w:val="24"/>
        </w:rPr>
        <w:t xml:space="preserve">com garantia e suporte técnico de uma única solução, além da capacitação dessa </w:t>
      </w:r>
      <w:r w:rsidR="00F37E9C">
        <w:rPr>
          <w:rFonts w:eastAsiaTheme="minorEastAsia"/>
          <w:sz w:val="24"/>
          <w:szCs w:val="24"/>
        </w:rPr>
        <w:t>tecnologia</w:t>
      </w:r>
      <w:r w:rsidRPr="4F2C0FBD">
        <w:rPr>
          <w:rFonts w:eastAsiaTheme="minorEastAsia"/>
          <w:sz w:val="24"/>
          <w:szCs w:val="24"/>
        </w:rPr>
        <w:t>. Portanto, há de ser prestado pela mesma empresa, sob pena de afetar a integridade do objeto, desnaturando-o. Em outras palavras, os itens da solução guardam compatibilidade entre si, ou seja, a licitante deve fornecer a sua totalidade, em plena consonância com a prática de mercado.</w:t>
      </w:r>
    </w:p>
    <w:p w14:paraId="4933DBF7" w14:textId="24268D5F" w:rsidR="008472C0" w:rsidRPr="009B7685" w:rsidRDefault="4F2C0FBD" w:rsidP="4F2C0FBD">
      <w:pPr>
        <w:pStyle w:val="Style4"/>
        <w:widowControl/>
        <w:spacing w:after="120" w:line="276" w:lineRule="auto"/>
        <w:ind w:firstLine="1134"/>
        <w:rPr>
          <w:rFonts w:asciiTheme="minorHAnsi" w:hAnsiTheme="minorHAnsi" w:cstheme="minorBidi"/>
        </w:rPr>
      </w:pPr>
      <w:r w:rsidRPr="4F2C0FBD">
        <w:rPr>
          <w:rFonts w:asciiTheme="minorHAnsi" w:hAnsiTheme="minorHAnsi" w:cstheme="minorBidi"/>
        </w:rPr>
        <w:t>Do contrário, com o parcelamento</w:t>
      </w:r>
      <w:r w:rsidRPr="00ED1A87">
        <w:rPr>
          <w:rFonts w:asciiTheme="minorHAnsi" w:hAnsiTheme="minorHAnsi" w:cstheme="minorBidi"/>
        </w:rPr>
        <w:t xml:space="preserve">, até </w:t>
      </w:r>
      <w:r w:rsidR="00ED1A87" w:rsidRPr="00ED1A87">
        <w:rPr>
          <w:rFonts w:asciiTheme="minorHAnsi" w:hAnsiTheme="minorHAnsi" w:cstheme="minorBidi"/>
        </w:rPr>
        <w:t>duas</w:t>
      </w:r>
      <w:r w:rsidRPr="00ED1A87">
        <w:rPr>
          <w:rFonts w:asciiTheme="minorHAnsi" w:hAnsiTheme="minorHAnsi" w:cstheme="minorBidi"/>
        </w:rPr>
        <w:t xml:space="preserve"> empresas poderiam vir a ser contratadas para execução dos itens da pretendida contratação. Entretanto, ínsito </w:t>
      </w:r>
      <w:r w:rsidRPr="4F2C0FBD">
        <w:rPr>
          <w:rFonts w:asciiTheme="minorHAnsi" w:hAnsiTheme="minorHAnsi" w:cstheme="minorBidi"/>
        </w:rPr>
        <w:t>em uma eventual multiplicidade de empresas está a de responsabilidades decorrentes dos contratos firmados. Sendo assim, diante de incertezas ou problemas, poderá haver dúvidas sobre a quem compete à resolução. Além do mais, qualquer assincronismo na execução contratual implicará em atrasos na implementação dos equipamentos e disponibilidade dos serviços.</w:t>
      </w:r>
    </w:p>
    <w:p w14:paraId="658A781B"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Por outro lado, a centralização da responsabilização em uma única empresa contratada de entrega, instalação, configuração, </w:t>
      </w:r>
      <w:r w:rsidRPr="00ED1A87">
        <w:rPr>
          <w:rFonts w:eastAsiaTheme="minorEastAsia"/>
          <w:i/>
          <w:iCs/>
          <w:sz w:val="24"/>
          <w:szCs w:val="24"/>
        </w:rPr>
        <w:t>moving</w:t>
      </w:r>
      <w:r w:rsidRPr="00ED1A87">
        <w:rPr>
          <w:rFonts w:eastAsiaTheme="minorEastAsia"/>
          <w:sz w:val="24"/>
          <w:szCs w:val="24"/>
        </w:rPr>
        <w:t>,</w:t>
      </w:r>
      <w:r w:rsidRPr="4F2C0FBD">
        <w:rPr>
          <w:rFonts w:eastAsiaTheme="minorEastAsia"/>
          <w:sz w:val="24"/>
          <w:szCs w:val="24"/>
        </w:rPr>
        <w:t xml:space="preserve"> capacitação, suporte e garantia dos equipamentos interligados, por tratar-se de dispositivos de alta disponibilidade, se mostra mais adequada não apenas sob o prisma do acompanhamento de problemas e soluções, mas sobremaneira para facilitar a verificação das causas e atribuição de responsabilidade, de modo a aumentar o controle sobre a execução do objeto licitado.</w:t>
      </w:r>
    </w:p>
    <w:p w14:paraId="0C2E9ACC"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Sendo assim, considerando as implicações que envolvem a pretendida contratação, bem como as razões técnicas apresentadas, a contratação de uma única empresa para o fornecimento da solução se mostra o mais adequado.</w:t>
      </w:r>
    </w:p>
    <w:p w14:paraId="72F548AA" w14:textId="77777777" w:rsidR="008472C0" w:rsidRPr="009B7685" w:rsidRDefault="4F2C0FBD" w:rsidP="4F2C0FBD">
      <w:pPr>
        <w:pStyle w:val="Primeirorecuodecorpodetexto"/>
        <w:spacing w:after="120"/>
        <w:ind w:firstLine="1134"/>
        <w:rPr>
          <w:rFonts w:eastAsiaTheme="minorEastAsia"/>
          <w:sz w:val="24"/>
          <w:szCs w:val="24"/>
        </w:rPr>
      </w:pPr>
      <w:r w:rsidRPr="4F2C0FBD">
        <w:rPr>
          <w:rFonts w:eastAsiaTheme="minorEastAsia"/>
          <w:sz w:val="24"/>
          <w:szCs w:val="24"/>
        </w:rPr>
        <w:t xml:space="preserve">A capacitação técnica deverá ser fornecida pela mesma empresa que fornecerá os equipamentos, visto que caso contrário corre-se o risco de a empresa responsável pela capacitação não ter conhecimento da tecnologia da solução vencedora dos outros itens. </w:t>
      </w:r>
    </w:p>
    <w:p w14:paraId="46F1A9AD" w14:textId="77777777" w:rsidR="008472C0" w:rsidRPr="009B7685" w:rsidRDefault="4F2C0FBD" w:rsidP="4F2C0FBD">
      <w:pPr>
        <w:pStyle w:val="Primeirorecuodecorpodetexto"/>
        <w:spacing w:after="120"/>
        <w:ind w:firstLine="1134"/>
        <w:rPr>
          <w:rFonts w:eastAsiaTheme="minorEastAsia"/>
          <w:sz w:val="24"/>
          <w:szCs w:val="24"/>
        </w:rPr>
      </w:pPr>
      <w:r w:rsidRPr="4F2C0FBD">
        <w:rPr>
          <w:rFonts w:eastAsiaTheme="minorEastAsia"/>
          <w:sz w:val="24"/>
          <w:szCs w:val="24"/>
        </w:rPr>
        <w:t xml:space="preserve">A adjudicação deverá ser do lote como um todo, ou seja, uma única empresa se sagrará vencedora do certame, devendo, portanto, ser adjudicado a uma só empresa. Tal se justifica ante a necessidade de preservar a integridade qualitativa do objeto, vez que se assim não for, a contratação de diversos fornecedores poderá causar prejuízos, bem assim dificuldades gerenciais e, até mesmo, aumento dos custos, pois a contratação tem a finalidade de formar um todo unitário. Some-se a isso a possibilidade de estabelecimento de um padrão de qualidade e eficiência que pode ser acompanhado ao longo da execução contratual, o que fica sobremaneira dificultado quando se trata de diversos fornecedores. </w:t>
      </w:r>
    </w:p>
    <w:p w14:paraId="40073EDE" w14:textId="77777777" w:rsidR="008472C0" w:rsidRPr="009B7685" w:rsidRDefault="4F2C0FBD" w:rsidP="4F2C0FBD">
      <w:pPr>
        <w:pStyle w:val="Primeirorecuodecorpodetexto"/>
        <w:spacing w:after="120"/>
        <w:ind w:firstLine="1134"/>
        <w:rPr>
          <w:rFonts w:eastAsiaTheme="minorEastAsia"/>
          <w:sz w:val="24"/>
          <w:szCs w:val="24"/>
        </w:rPr>
      </w:pPr>
      <w:r w:rsidRPr="4F2C0FBD">
        <w:rPr>
          <w:rFonts w:eastAsiaTheme="minorEastAsia"/>
          <w:sz w:val="24"/>
          <w:szCs w:val="24"/>
        </w:rPr>
        <w:t>Muito embora a solução seja divisível, o parcelamento do objeto em itens, nos termos do art. 23, §1º, da Lei nº 8.666/1993, neste caso, se demonstra técnica e economicamente inviável. O não parcelamento não tem a finalidade de reduzir o caráter competitivo da licitação. Visa, em verdade, assegurar, principalmente, a eficaz e contínua execução dos serviços, com gerência segura da contratação, além da economia de escala, eficiência na fiscalização de um único contrato e bloqueio de possíveis transtornos que poderiam surgir com a existência de duas ou mais empresas para a execução e supervisão de um único serviço. Assim, com destaque para os princípios da eficiência e economicidade, é imprescindível a licitação por lote.</w:t>
      </w:r>
    </w:p>
    <w:p w14:paraId="7103AF80" w14:textId="77777777" w:rsidR="008472C0" w:rsidRPr="009B7685" w:rsidRDefault="4F2C0FBD" w:rsidP="00EA1520">
      <w:pPr>
        <w:pStyle w:val="Primeirorecuodecorpodetexto"/>
        <w:spacing w:after="120"/>
        <w:ind w:firstLine="709"/>
        <w:rPr>
          <w:rFonts w:eastAsiaTheme="minorEastAsia"/>
          <w:sz w:val="24"/>
          <w:szCs w:val="24"/>
        </w:rPr>
      </w:pPr>
      <w:r w:rsidRPr="4F2C0FBD">
        <w:rPr>
          <w:rFonts w:eastAsiaTheme="minorEastAsia"/>
          <w:sz w:val="24"/>
          <w:szCs w:val="24"/>
        </w:rPr>
        <w:t>A Súmula 247, do TCU, aduz que o parcelamento ou não do objeto da licitação deve ser auferido sempre no caso concreto, perquirindo-se essencialmente acerca da viabilidade técnica e econômica do parcelamento e da divisibilidade do objeto. In casu, como já explanado, é inviável, tecnicamente, o parcelamento, devendo-se manter a unicidade.</w:t>
      </w:r>
    </w:p>
    <w:p w14:paraId="3ED2CA05"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 xml:space="preserve">O não parcelamento da solução gera a adjudicação do lote como um todo, onde não poderão existir empresas distintas vencedoras de cada item, devendo, portanto, ocorrer à </w:t>
      </w:r>
      <w:r w:rsidRPr="4F2C0FBD">
        <w:rPr>
          <w:rFonts w:eastAsiaTheme="minorEastAsia"/>
          <w:b/>
          <w:bCs/>
          <w:sz w:val="24"/>
          <w:szCs w:val="24"/>
        </w:rPr>
        <w:t>adjudicação a uma única empresa</w:t>
      </w:r>
      <w:r w:rsidRPr="4F2C0FBD">
        <w:rPr>
          <w:rFonts w:eastAsiaTheme="minorEastAsia"/>
          <w:sz w:val="24"/>
          <w:szCs w:val="24"/>
        </w:rPr>
        <w:t>, preservando a integridade qualitativa do objeto.</w:t>
      </w:r>
    </w:p>
    <w:p w14:paraId="379D07B8" w14:textId="77777777" w:rsidR="008472C0" w:rsidRPr="009B7685" w:rsidRDefault="4F2C0FBD" w:rsidP="4F2C0FBD">
      <w:pPr>
        <w:pStyle w:val="Ttulo4"/>
        <w:numPr>
          <w:ilvl w:val="3"/>
          <w:numId w:val="0"/>
        </w:numPr>
        <w:ind w:left="864" w:hanging="864"/>
        <w:jc w:val="both"/>
        <w:rPr>
          <w:rFonts w:asciiTheme="minorHAnsi" w:eastAsiaTheme="minorEastAsia" w:hAnsiTheme="minorHAnsi" w:cstheme="minorBidi"/>
          <w:i w:val="0"/>
          <w:iCs w:val="0"/>
          <w:color w:val="00B0F0"/>
          <w:sz w:val="24"/>
          <w:szCs w:val="24"/>
        </w:rPr>
      </w:pPr>
      <w:r w:rsidRPr="4F2C0FBD">
        <w:rPr>
          <w:rFonts w:asciiTheme="minorHAnsi" w:eastAsiaTheme="minorEastAsia" w:hAnsiTheme="minorHAnsi" w:cstheme="minorBidi"/>
          <w:i w:val="0"/>
          <w:iCs w:val="0"/>
          <w:color w:val="00B0F0"/>
          <w:sz w:val="24"/>
          <w:szCs w:val="24"/>
        </w:rPr>
        <w:t>Subcontratação</w:t>
      </w:r>
    </w:p>
    <w:p w14:paraId="1E3DF8E2" w14:textId="77777777" w:rsidR="008472C0" w:rsidRPr="009B7685" w:rsidRDefault="4F2C0FBD" w:rsidP="4F2C0FBD">
      <w:pPr>
        <w:pStyle w:val="Primeirorecuodecorpodetexto"/>
        <w:spacing w:after="120"/>
        <w:ind w:firstLine="709"/>
        <w:rPr>
          <w:rFonts w:eastAsiaTheme="minorEastAsia"/>
          <w:color w:val="FF0000"/>
          <w:sz w:val="24"/>
          <w:szCs w:val="24"/>
        </w:rPr>
      </w:pPr>
      <w:r w:rsidRPr="4F2C0FBD">
        <w:rPr>
          <w:rFonts w:eastAsiaTheme="minorEastAsia"/>
          <w:sz w:val="24"/>
          <w:szCs w:val="24"/>
        </w:rPr>
        <w:t xml:space="preserve">Não será permitida a subcontratação. </w:t>
      </w:r>
    </w:p>
    <w:p w14:paraId="4A81C42D"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w:t>
      </w:r>
    </w:p>
    <w:p w14:paraId="6F4FD686" w14:textId="760A484E"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Para efeito deste, não será adotada esta abordagem conceitual rigorosa, bastando que a prestação de serviços direta ao PJMT, bem como o faturamento das peças e componentes sejam executados diretamente pelo contratado, ainda que necessite recorrer a terceiros para obter os insumos necessários.</w:t>
      </w:r>
    </w:p>
    <w:p w14:paraId="64E5CD43" w14:textId="77777777" w:rsidR="008472C0" w:rsidRPr="009B7685" w:rsidRDefault="008472C0" w:rsidP="008472C0">
      <w:pPr>
        <w:pStyle w:val="Primeirorecuodecorpodetexto"/>
        <w:spacing w:after="120"/>
        <w:ind w:firstLine="709"/>
        <w:rPr>
          <w:rFonts w:cstheme="minorHAnsi"/>
          <w:sz w:val="24"/>
          <w:szCs w:val="24"/>
        </w:rPr>
      </w:pPr>
    </w:p>
    <w:p w14:paraId="5F006379" w14:textId="77777777" w:rsidR="008472C0" w:rsidRPr="009B7685" w:rsidRDefault="4F2C0FBD" w:rsidP="4F2C0FBD">
      <w:pPr>
        <w:pStyle w:val="Ttulo4"/>
        <w:numPr>
          <w:ilvl w:val="3"/>
          <w:numId w:val="0"/>
        </w:numPr>
        <w:ind w:left="864" w:hanging="864"/>
        <w:jc w:val="both"/>
        <w:rPr>
          <w:rFonts w:asciiTheme="minorHAnsi" w:eastAsiaTheme="minorEastAsia" w:hAnsiTheme="minorHAnsi" w:cstheme="minorBidi"/>
          <w:i w:val="0"/>
          <w:iCs w:val="0"/>
          <w:color w:val="00B0F0"/>
          <w:sz w:val="24"/>
          <w:szCs w:val="24"/>
        </w:rPr>
      </w:pPr>
      <w:r w:rsidRPr="4F2C0FBD">
        <w:rPr>
          <w:rFonts w:asciiTheme="minorHAnsi" w:eastAsiaTheme="minorEastAsia" w:hAnsiTheme="minorHAnsi" w:cstheme="minorBidi"/>
          <w:i w:val="0"/>
          <w:iCs w:val="0"/>
          <w:color w:val="00B0F0"/>
          <w:sz w:val="24"/>
          <w:szCs w:val="24"/>
        </w:rPr>
        <w:t>Do consórcio:</w:t>
      </w:r>
    </w:p>
    <w:p w14:paraId="2CF4F485"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A divisão da solução não é tecnicamente viável e existem fornecedores para toda a solução, não sendo necessário, portanto, a aceitação da participação de consórcios.</w:t>
      </w:r>
    </w:p>
    <w:p w14:paraId="4C556ACE" w14:textId="77777777" w:rsidR="008472C0" w:rsidRPr="009B7685" w:rsidRDefault="008472C0" w:rsidP="4F2C0FBD">
      <w:pPr>
        <w:pStyle w:val="Ttulo2"/>
        <w:rPr>
          <w:rFonts w:asciiTheme="minorHAnsi" w:eastAsiaTheme="minorEastAsia" w:hAnsiTheme="minorHAnsi" w:cstheme="minorBidi"/>
        </w:rPr>
      </w:pPr>
      <w:bookmarkStart w:id="66" w:name="_Toc508564263"/>
      <w:bookmarkStart w:id="67" w:name="_Toc534884826"/>
      <w:r w:rsidRPr="4F2C0FBD">
        <w:rPr>
          <w:rFonts w:asciiTheme="minorHAnsi" w:eastAsiaTheme="minorEastAsia" w:hAnsiTheme="minorHAnsi" w:cstheme="minorBidi"/>
        </w:rPr>
        <w:t>Da amostra:</w:t>
      </w:r>
      <w:bookmarkEnd w:id="66"/>
      <w:bookmarkEnd w:id="67"/>
    </w:p>
    <w:p w14:paraId="03EF4E89"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Para a contratação ora pretendida, não será necessária amostra da solução.</w:t>
      </w:r>
    </w:p>
    <w:p w14:paraId="0EA48E40" w14:textId="77777777" w:rsidR="008472C0" w:rsidRPr="009B7685" w:rsidRDefault="008472C0" w:rsidP="4F2C0FBD">
      <w:pPr>
        <w:pStyle w:val="Ttulo2"/>
        <w:rPr>
          <w:rFonts w:asciiTheme="minorHAnsi" w:eastAsiaTheme="minorEastAsia" w:hAnsiTheme="minorHAnsi" w:cstheme="minorBidi"/>
        </w:rPr>
      </w:pPr>
      <w:bookmarkStart w:id="68" w:name="_Toc534884827"/>
      <w:r w:rsidRPr="4F2C0FBD">
        <w:rPr>
          <w:rFonts w:asciiTheme="minorHAnsi" w:eastAsiaTheme="minorEastAsia" w:hAnsiTheme="minorHAnsi" w:cstheme="minorBidi"/>
        </w:rPr>
        <w:t>Modalidade e Tipo de Licitação (Art. 16, IV)</w:t>
      </w:r>
      <w:bookmarkEnd w:id="68"/>
    </w:p>
    <w:p w14:paraId="59F1F4BB" w14:textId="77777777" w:rsidR="008472C0" w:rsidRPr="009B7685" w:rsidRDefault="008472C0" w:rsidP="4F2C0FBD">
      <w:pPr>
        <w:pStyle w:val="Ttulo3"/>
        <w:rPr>
          <w:rFonts w:eastAsiaTheme="minorEastAsia" w:cstheme="minorBidi"/>
        </w:rPr>
      </w:pPr>
      <w:bookmarkStart w:id="69" w:name="_Toc399753892"/>
      <w:bookmarkStart w:id="70" w:name="_Toc479311357"/>
      <w:bookmarkStart w:id="71" w:name="_Toc534884828"/>
      <w:r w:rsidRPr="4F2C0FBD">
        <w:rPr>
          <w:rFonts w:eastAsiaTheme="minorEastAsia" w:cstheme="minorBidi"/>
        </w:rPr>
        <w:t>Modalidade, Tipo de Licitação (Art. 18, § 3º, II, j, Resolução 182/2013-CNJ)</w:t>
      </w:r>
      <w:bookmarkEnd w:id="69"/>
      <w:bookmarkEnd w:id="70"/>
      <w:bookmarkEnd w:id="71"/>
    </w:p>
    <w:p w14:paraId="32468EB7" w14:textId="77777777" w:rsidR="008472C0" w:rsidRPr="009B7685" w:rsidRDefault="4F2C0FBD" w:rsidP="4F2C0FBD">
      <w:pPr>
        <w:pStyle w:val="Primeirorecuodecorpodetexto"/>
        <w:spacing w:after="120"/>
        <w:ind w:firstLine="709"/>
        <w:rPr>
          <w:rFonts w:eastAsiaTheme="minorEastAsia"/>
          <w:sz w:val="24"/>
          <w:szCs w:val="24"/>
          <w:highlight w:val="cyan"/>
        </w:rPr>
      </w:pPr>
      <w:r w:rsidRPr="4F2C0FBD">
        <w:rPr>
          <w:rFonts w:eastAsiaTheme="minorEastAsia"/>
          <w:sz w:val="24"/>
          <w:szCs w:val="24"/>
        </w:rPr>
        <w:t>A contratação da solução ora pretendida é oferecida por diversos fornecedores no mercado de TIC, vez que apresenta características padronizadas e usuais. Assim, trata-se de serviço comum e, portanto, licitação via Pregão, em sua forma eletrônica, pelo tipo menor preço global, previamente ao menor preço individual de cada item.</w:t>
      </w:r>
    </w:p>
    <w:p w14:paraId="57DDC1B8" w14:textId="77777777" w:rsidR="008472C0" w:rsidRPr="009B7685" w:rsidRDefault="008472C0" w:rsidP="4F2C0FBD">
      <w:pPr>
        <w:pStyle w:val="Ttulo3"/>
        <w:rPr>
          <w:rFonts w:eastAsiaTheme="minorEastAsia" w:cstheme="minorBidi"/>
        </w:rPr>
      </w:pPr>
      <w:bookmarkStart w:id="72" w:name="_Toc479311358"/>
      <w:bookmarkStart w:id="73" w:name="_Toc534884829"/>
      <w:r w:rsidRPr="4F2C0FBD">
        <w:rPr>
          <w:rFonts w:eastAsiaTheme="minorEastAsia" w:cstheme="minorBidi"/>
        </w:rPr>
        <w:t>Não aplicação da Lei Complementar n. 123/2006, alterada pela Lei Complementar n. 147/2014.</w:t>
      </w:r>
      <w:bookmarkEnd w:id="72"/>
      <w:bookmarkEnd w:id="73"/>
    </w:p>
    <w:p w14:paraId="715D955E" w14:textId="77777777"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Não há óbice. Ter-se-á aplicação da Lei Complementar.</w:t>
      </w:r>
    </w:p>
    <w:p w14:paraId="2E383C13" w14:textId="77777777" w:rsidR="008472C0" w:rsidRPr="009B7685" w:rsidRDefault="008472C0" w:rsidP="4F2C0FBD">
      <w:pPr>
        <w:pStyle w:val="Ttulo2"/>
        <w:spacing w:after="120"/>
        <w:ind w:left="578" w:hanging="578"/>
        <w:rPr>
          <w:rFonts w:asciiTheme="minorHAnsi" w:eastAsiaTheme="minorEastAsia" w:hAnsiTheme="minorHAnsi" w:cstheme="minorBidi"/>
        </w:rPr>
      </w:pPr>
      <w:bookmarkStart w:id="74" w:name="_Toc534884830"/>
      <w:r w:rsidRPr="4F2C0FBD">
        <w:rPr>
          <w:rFonts w:asciiTheme="minorHAnsi" w:eastAsiaTheme="minorEastAsia" w:hAnsiTheme="minorHAnsi" w:cstheme="minorBidi"/>
        </w:rPr>
        <w:t>Classificação e Indicação orçamentária (Art. 16, V)</w:t>
      </w:r>
      <w:bookmarkEnd w:id="74"/>
    </w:p>
    <w:p w14:paraId="3E65615F" w14:textId="77777777" w:rsidR="008472C0" w:rsidRPr="009B7685" w:rsidRDefault="008472C0" w:rsidP="4F2C0FBD">
      <w:pPr>
        <w:pStyle w:val="Primeirorecuodecorpodetexto"/>
        <w:tabs>
          <w:tab w:val="left" w:pos="2410"/>
        </w:tabs>
        <w:spacing w:after="120"/>
        <w:ind w:firstLine="709"/>
        <w:rPr>
          <w:rFonts w:eastAsiaTheme="minorEastAsia"/>
          <w:color w:val="000000" w:themeColor="text1"/>
          <w:sz w:val="24"/>
          <w:szCs w:val="24"/>
        </w:rPr>
      </w:pPr>
      <w:r w:rsidRPr="4F2C0FBD">
        <w:rPr>
          <w:rFonts w:eastAsiaTheme="minorEastAsia"/>
          <w:color w:val="000000"/>
          <w:sz w:val="24"/>
          <w:szCs w:val="24"/>
          <w:shd w:val="clear" w:color="auto" w:fill="FDFDFD"/>
        </w:rPr>
        <w:t>Classificação: 3.3.90.40 – SERVIÇO DE TECNOLOGIA DE INFORMAÇÃO E COMUNICAÇÃO – PESSOA JURÍDICA.</w:t>
      </w:r>
    </w:p>
    <w:p w14:paraId="52554364" w14:textId="77777777" w:rsidR="008472C0" w:rsidRPr="009B7685" w:rsidRDefault="008472C0" w:rsidP="4F2C0FBD">
      <w:pPr>
        <w:pStyle w:val="Primeirorecuodecorpodetexto"/>
        <w:tabs>
          <w:tab w:val="left" w:pos="2410"/>
        </w:tabs>
        <w:spacing w:after="120"/>
        <w:ind w:firstLine="709"/>
        <w:rPr>
          <w:rFonts w:eastAsiaTheme="minorEastAsia"/>
          <w:color w:val="000000" w:themeColor="text1"/>
          <w:sz w:val="24"/>
          <w:szCs w:val="24"/>
        </w:rPr>
      </w:pPr>
      <w:r w:rsidRPr="4F2C0FBD">
        <w:rPr>
          <w:rFonts w:eastAsiaTheme="minorEastAsia"/>
          <w:color w:val="000000"/>
          <w:sz w:val="24"/>
          <w:szCs w:val="24"/>
          <w:shd w:val="clear" w:color="auto" w:fill="FDFDFD"/>
        </w:rPr>
        <w:t>Classificação: 4.4.90-52 – EQUIPAMENTOS E MATERIAL PERMANENTE.</w:t>
      </w:r>
    </w:p>
    <w:p w14:paraId="2C0730EA" w14:textId="77777777" w:rsidR="008472C0" w:rsidRPr="009B7685" w:rsidRDefault="008472C0" w:rsidP="4F2C0FBD">
      <w:pPr>
        <w:pStyle w:val="Primeirorecuodecorpodetexto"/>
        <w:tabs>
          <w:tab w:val="left" w:pos="2410"/>
        </w:tabs>
        <w:spacing w:after="120"/>
        <w:ind w:firstLine="709"/>
        <w:rPr>
          <w:rFonts w:eastAsiaTheme="minorEastAsia"/>
          <w:color w:val="000000" w:themeColor="text1"/>
          <w:sz w:val="24"/>
          <w:szCs w:val="24"/>
        </w:rPr>
      </w:pPr>
      <w:r w:rsidRPr="4F2C0FBD">
        <w:rPr>
          <w:rFonts w:eastAsiaTheme="minorEastAsia"/>
          <w:color w:val="000000"/>
          <w:sz w:val="24"/>
          <w:szCs w:val="24"/>
          <w:shd w:val="clear" w:color="auto" w:fill="FDFDFD"/>
        </w:rPr>
        <w:t>Unidade Orçamentária: 03.601 - Fonte: 640.</w:t>
      </w:r>
    </w:p>
    <w:p w14:paraId="2AEC55D4" w14:textId="05730AC5" w:rsidR="008472C0" w:rsidRPr="009B7685" w:rsidRDefault="4F2C0FBD" w:rsidP="4F2C0FBD">
      <w:pPr>
        <w:pStyle w:val="Primeirorecuodecorpodetexto"/>
        <w:tabs>
          <w:tab w:val="left" w:pos="2410"/>
        </w:tabs>
        <w:spacing w:after="120"/>
        <w:ind w:firstLine="709"/>
        <w:rPr>
          <w:rFonts w:eastAsiaTheme="minorEastAsia"/>
          <w:b/>
          <w:bCs/>
          <w:sz w:val="24"/>
          <w:szCs w:val="24"/>
        </w:rPr>
      </w:pPr>
      <w:r w:rsidRPr="4F2C0FBD">
        <w:rPr>
          <w:rFonts w:eastAsiaTheme="minorEastAsia"/>
          <w:sz w:val="24"/>
          <w:szCs w:val="24"/>
        </w:rPr>
        <w:t>Os equipamentos/serviços serão para a 2ª instância.</w:t>
      </w:r>
    </w:p>
    <w:p w14:paraId="47A5712B" w14:textId="77777777" w:rsidR="008472C0" w:rsidRPr="009B7685" w:rsidRDefault="008472C0" w:rsidP="4F2C0FBD">
      <w:pPr>
        <w:pStyle w:val="Ttulo2"/>
        <w:spacing w:after="120"/>
        <w:ind w:left="578" w:hanging="578"/>
        <w:rPr>
          <w:rFonts w:asciiTheme="minorHAnsi" w:eastAsiaTheme="minorEastAsia" w:hAnsiTheme="minorHAnsi" w:cstheme="minorBidi"/>
        </w:rPr>
      </w:pPr>
      <w:bookmarkStart w:id="75" w:name="_Toc534884831"/>
      <w:r w:rsidRPr="4F2C0FBD">
        <w:rPr>
          <w:rFonts w:asciiTheme="minorHAnsi" w:eastAsiaTheme="minorEastAsia" w:hAnsiTheme="minorHAnsi" w:cstheme="minorBidi"/>
        </w:rPr>
        <w:t>Vigência da Prestação de Serviço (Art. 16, VI)</w:t>
      </w:r>
      <w:bookmarkEnd w:id="75"/>
    </w:p>
    <w:p w14:paraId="30F35F94" w14:textId="1172DEC3" w:rsidR="008472C0" w:rsidRPr="009B7685" w:rsidRDefault="4F2C0FBD" w:rsidP="4F2C0FBD">
      <w:pPr>
        <w:pStyle w:val="Primeirorecuodecorpodetexto"/>
        <w:spacing w:after="120"/>
        <w:ind w:firstLine="709"/>
        <w:rPr>
          <w:rFonts w:eastAsiaTheme="minorEastAsia"/>
          <w:sz w:val="24"/>
          <w:szCs w:val="24"/>
        </w:rPr>
      </w:pPr>
      <w:r w:rsidRPr="4F2C0FBD">
        <w:rPr>
          <w:rFonts w:eastAsiaTheme="minorEastAsia"/>
          <w:sz w:val="24"/>
          <w:szCs w:val="24"/>
        </w:rPr>
        <w:t>A vigência do contrato para aquisição, entrega, instalação e configuração dos equipamen</w:t>
      </w:r>
      <w:r w:rsidR="00F37E9C">
        <w:rPr>
          <w:rFonts w:eastAsiaTheme="minorEastAsia"/>
          <w:sz w:val="24"/>
          <w:szCs w:val="24"/>
        </w:rPr>
        <w:t>tos, suporte técnico e garantia e</w:t>
      </w:r>
      <w:r w:rsidRPr="4F2C0FBD">
        <w:rPr>
          <w:rFonts w:eastAsiaTheme="minorEastAsia"/>
          <w:sz w:val="24"/>
          <w:szCs w:val="24"/>
        </w:rPr>
        <w:t xml:space="preserve"> capacitação</w:t>
      </w:r>
      <w:r w:rsidRPr="4F2C0FBD">
        <w:rPr>
          <w:rFonts w:eastAsiaTheme="minorEastAsia"/>
          <w:i/>
          <w:iCs/>
          <w:sz w:val="24"/>
          <w:szCs w:val="24"/>
        </w:rPr>
        <w:t xml:space="preserve"> </w:t>
      </w:r>
      <w:r w:rsidRPr="4F2C0FBD">
        <w:rPr>
          <w:rFonts w:eastAsiaTheme="minorEastAsia"/>
          <w:sz w:val="24"/>
          <w:szCs w:val="24"/>
        </w:rPr>
        <w:t>será dada da seguinte maneira:</w:t>
      </w:r>
    </w:p>
    <w:p w14:paraId="03A68C42" w14:textId="25C07206" w:rsidR="008472C0" w:rsidRPr="009B7685" w:rsidRDefault="4F2C0FBD" w:rsidP="4F2C0FBD">
      <w:pPr>
        <w:pStyle w:val="Primeirorecuodecorpodetexto"/>
        <w:numPr>
          <w:ilvl w:val="0"/>
          <w:numId w:val="14"/>
        </w:numPr>
        <w:spacing w:after="120"/>
        <w:ind w:left="709" w:firstLine="709"/>
        <w:rPr>
          <w:rFonts w:eastAsiaTheme="minorEastAsia"/>
          <w:sz w:val="24"/>
          <w:szCs w:val="24"/>
        </w:rPr>
      </w:pPr>
      <w:r w:rsidRPr="4F2C0FBD">
        <w:rPr>
          <w:rFonts w:eastAsiaTheme="minorEastAsia"/>
          <w:sz w:val="24"/>
          <w:szCs w:val="24"/>
        </w:rPr>
        <w:t xml:space="preserve">Para aquisição dos equipamentos de </w:t>
      </w:r>
      <w:r w:rsidRPr="4F2C0FBD">
        <w:rPr>
          <w:rFonts w:eastAsiaTheme="minorEastAsia"/>
          <w:i/>
          <w:iCs/>
          <w:sz w:val="24"/>
          <w:szCs w:val="24"/>
        </w:rPr>
        <w:t>storage</w:t>
      </w:r>
      <w:r w:rsidR="000E047F">
        <w:rPr>
          <w:rFonts w:eastAsiaTheme="minorEastAsia"/>
          <w:sz w:val="24"/>
          <w:szCs w:val="24"/>
        </w:rPr>
        <w:t xml:space="preserve"> (item</w:t>
      </w:r>
      <w:r w:rsidR="00F37E9C">
        <w:rPr>
          <w:rFonts w:eastAsiaTheme="minorEastAsia"/>
          <w:sz w:val="24"/>
          <w:szCs w:val="24"/>
        </w:rPr>
        <w:t xml:space="preserve"> 1) e</w:t>
      </w:r>
      <w:r w:rsidRPr="4F2C0FBD">
        <w:rPr>
          <w:rFonts w:eastAsiaTheme="minorEastAsia"/>
          <w:sz w:val="24"/>
          <w:szCs w:val="24"/>
        </w:rPr>
        <w:t xml:space="preserve"> </w:t>
      </w:r>
      <w:r w:rsidR="00F37E9C">
        <w:rPr>
          <w:rFonts w:eastAsiaTheme="minorEastAsia"/>
          <w:sz w:val="24"/>
          <w:szCs w:val="24"/>
        </w:rPr>
        <w:t>c</w:t>
      </w:r>
      <w:r w:rsidRPr="4F2C0FBD">
        <w:rPr>
          <w:rFonts w:eastAsiaTheme="minorEastAsia"/>
          <w:sz w:val="24"/>
          <w:szCs w:val="24"/>
        </w:rPr>
        <w:t xml:space="preserve">apacitação </w:t>
      </w:r>
      <w:r w:rsidR="00F37E9C">
        <w:rPr>
          <w:rFonts w:eastAsiaTheme="minorEastAsia"/>
          <w:sz w:val="24"/>
          <w:szCs w:val="24"/>
        </w:rPr>
        <w:t>(item</w:t>
      </w:r>
      <w:r w:rsidRPr="4F2C0FBD">
        <w:rPr>
          <w:rFonts w:eastAsiaTheme="minorEastAsia"/>
          <w:sz w:val="24"/>
          <w:szCs w:val="24"/>
        </w:rPr>
        <w:t xml:space="preserve"> </w:t>
      </w:r>
      <w:r w:rsidR="000E047F">
        <w:rPr>
          <w:rFonts w:eastAsiaTheme="minorEastAsia"/>
          <w:sz w:val="24"/>
          <w:szCs w:val="24"/>
        </w:rPr>
        <w:t>4</w:t>
      </w:r>
      <w:r w:rsidRPr="4F2C0FBD">
        <w:rPr>
          <w:rFonts w:eastAsiaTheme="minorEastAsia"/>
          <w:sz w:val="24"/>
          <w:szCs w:val="24"/>
        </w:rPr>
        <w:t>), terá validade de 36 (trinta e seis) meses, a contar da data de sua assinatura;</w:t>
      </w:r>
    </w:p>
    <w:p w14:paraId="4F06ED16" w14:textId="45614F73" w:rsidR="008472C0" w:rsidRPr="009B7685" w:rsidRDefault="000E047F" w:rsidP="4F2C0FBD">
      <w:pPr>
        <w:pStyle w:val="Primeirorecuodecorpodetexto"/>
        <w:numPr>
          <w:ilvl w:val="0"/>
          <w:numId w:val="14"/>
        </w:numPr>
        <w:spacing w:after="120"/>
        <w:ind w:left="709" w:firstLine="709"/>
        <w:rPr>
          <w:rFonts w:eastAsiaTheme="minorEastAsia"/>
          <w:sz w:val="24"/>
          <w:szCs w:val="24"/>
        </w:rPr>
      </w:pPr>
      <w:r>
        <w:rPr>
          <w:rFonts w:eastAsiaTheme="minorEastAsia"/>
          <w:sz w:val="24"/>
          <w:szCs w:val="24"/>
        </w:rPr>
        <w:t>A vigência das expansões (itens 2 e 3) terá início com suas respectivas implantações e deverá se encerrar em conjunto com os demais itens</w:t>
      </w:r>
      <w:r w:rsidR="00B6041B">
        <w:rPr>
          <w:rFonts w:eastAsiaTheme="minorEastAsia"/>
          <w:sz w:val="24"/>
          <w:szCs w:val="24"/>
        </w:rPr>
        <w:t xml:space="preserve"> (24 e 12 meses, respectivamente)</w:t>
      </w:r>
      <w:r>
        <w:rPr>
          <w:rFonts w:eastAsiaTheme="minorEastAsia"/>
          <w:sz w:val="24"/>
          <w:szCs w:val="24"/>
        </w:rPr>
        <w:t>.</w:t>
      </w:r>
    </w:p>
    <w:p w14:paraId="57C2565C" w14:textId="77777777" w:rsidR="008472C0" w:rsidRPr="009B7685" w:rsidRDefault="4F2C0FBD" w:rsidP="000E047F">
      <w:pPr>
        <w:pStyle w:val="Primeirorecuodecorpodetexto"/>
        <w:spacing w:after="120"/>
        <w:ind w:firstLine="709"/>
        <w:rPr>
          <w:rFonts w:eastAsiaTheme="minorEastAsia"/>
          <w:sz w:val="24"/>
          <w:szCs w:val="24"/>
        </w:rPr>
      </w:pPr>
      <w:r w:rsidRPr="007942AD">
        <w:rPr>
          <w:rFonts w:eastAsiaTheme="minorEastAsia"/>
          <w:sz w:val="24"/>
          <w:szCs w:val="24"/>
        </w:rPr>
        <w:t>Todos a contar da data de instalação dos mesmos, e seus respectivos recebimentos definitivos com testes de funcionamento.</w:t>
      </w:r>
    </w:p>
    <w:p w14:paraId="5577DA71" w14:textId="77777777" w:rsidR="008472C0" w:rsidRPr="009B7685" w:rsidRDefault="008472C0" w:rsidP="4F2C0FBD">
      <w:pPr>
        <w:pStyle w:val="Ttulo2"/>
        <w:spacing w:after="120"/>
        <w:ind w:left="578" w:hanging="578"/>
        <w:rPr>
          <w:rFonts w:asciiTheme="minorHAnsi" w:eastAsiaTheme="minorEastAsia" w:hAnsiTheme="minorHAnsi" w:cstheme="minorBidi"/>
        </w:rPr>
      </w:pPr>
      <w:bookmarkStart w:id="76" w:name="_Toc534884832"/>
      <w:r w:rsidRPr="4F2C0FBD">
        <w:rPr>
          <w:rFonts w:asciiTheme="minorHAnsi" w:eastAsiaTheme="minorEastAsia" w:hAnsiTheme="minorHAnsi" w:cstheme="minorBidi"/>
        </w:rPr>
        <w:t>Equipe de Apoio e Gestão à Contratação (Art. 16, VII)</w:t>
      </w:r>
      <w:bookmarkEnd w:id="76"/>
    </w:p>
    <w:p w14:paraId="720404C7" w14:textId="77777777" w:rsidR="008472C0" w:rsidRPr="009B7685" w:rsidRDefault="4F2C0FBD" w:rsidP="4F2C0FBD">
      <w:pPr>
        <w:pStyle w:val="Primeirorecuodecorpodetexto"/>
        <w:spacing w:after="120"/>
        <w:ind w:left="567" w:firstLine="567"/>
        <w:rPr>
          <w:rFonts w:eastAsiaTheme="minorEastAsia"/>
          <w:sz w:val="24"/>
          <w:szCs w:val="24"/>
        </w:rPr>
      </w:pPr>
      <w:r w:rsidRPr="4F2C0FBD">
        <w:rPr>
          <w:rFonts w:eastAsiaTheme="minorEastAsia"/>
          <w:sz w:val="24"/>
          <w:szCs w:val="24"/>
        </w:rPr>
        <w:t>Para a composição da Equipe de Apoio e Gestão da Contratação, foram feitas as seguintes indicações:</w:t>
      </w:r>
    </w:p>
    <w:p w14:paraId="1F383D6E" w14:textId="77777777" w:rsidR="008472C0" w:rsidRPr="009B7685" w:rsidRDefault="4F2C0FBD" w:rsidP="4F2C0FBD">
      <w:pPr>
        <w:pStyle w:val="Primeirorecuodecorpodetexto"/>
        <w:numPr>
          <w:ilvl w:val="0"/>
          <w:numId w:val="2"/>
        </w:numPr>
        <w:spacing w:before="240" w:after="0"/>
        <w:rPr>
          <w:rFonts w:eastAsiaTheme="minorEastAsia"/>
          <w:sz w:val="24"/>
          <w:szCs w:val="24"/>
        </w:rPr>
      </w:pPr>
      <w:r w:rsidRPr="4F2C0FBD">
        <w:rPr>
          <w:rFonts w:eastAsiaTheme="minorEastAsia"/>
          <w:sz w:val="24"/>
          <w:szCs w:val="24"/>
        </w:rPr>
        <w:t>Integrante Demandante</w:t>
      </w:r>
    </w:p>
    <w:tbl>
      <w:tblPr>
        <w:tblStyle w:val="Tabelacomgrade"/>
        <w:tblW w:w="8755" w:type="dxa"/>
        <w:tblLook w:val="04A0" w:firstRow="1" w:lastRow="0" w:firstColumn="1" w:lastColumn="0" w:noHBand="0" w:noVBand="1"/>
      </w:tblPr>
      <w:tblGrid>
        <w:gridCol w:w="2943"/>
        <w:gridCol w:w="5812"/>
      </w:tblGrid>
      <w:tr w:rsidR="008472C0" w:rsidRPr="009B7685" w14:paraId="4581BF54" w14:textId="77777777" w:rsidTr="4F2C0FBD">
        <w:tc>
          <w:tcPr>
            <w:tcW w:w="2943" w:type="dxa"/>
          </w:tcPr>
          <w:p w14:paraId="4B99779B" w14:textId="77777777" w:rsidR="008472C0" w:rsidRPr="009B7685" w:rsidRDefault="4F2C0FBD" w:rsidP="4F2C0FBD">
            <w:pPr>
              <w:jc w:val="both"/>
              <w:rPr>
                <w:rFonts w:eastAsiaTheme="minorEastAsia"/>
                <w:color w:val="FF0000"/>
                <w:sz w:val="24"/>
                <w:szCs w:val="24"/>
              </w:rPr>
            </w:pPr>
            <w:r w:rsidRPr="4F2C0FBD">
              <w:rPr>
                <w:rFonts w:eastAsiaTheme="minorEastAsia"/>
                <w:sz w:val="24"/>
                <w:szCs w:val="24"/>
              </w:rPr>
              <w:t>Nome</w:t>
            </w:r>
          </w:p>
        </w:tc>
        <w:tc>
          <w:tcPr>
            <w:tcW w:w="5812" w:type="dxa"/>
          </w:tcPr>
          <w:p w14:paraId="598E5C8F" w14:textId="77777777" w:rsidR="008472C0" w:rsidRPr="009B7685" w:rsidRDefault="4F2C0FBD" w:rsidP="4F2C0FBD">
            <w:pPr>
              <w:jc w:val="both"/>
              <w:rPr>
                <w:rFonts w:eastAsiaTheme="minorEastAsia"/>
                <w:color w:val="FF0000"/>
                <w:sz w:val="24"/>
                <w:szCs w:val="24"/>
              </w:rPr>
            </w:pPr>
            <w:r w:rsidRPr="4F2C0FBD">
              <w:rPr>
                <w:rFonts w:eastAsiaTheme="minorEastAsia"/>
                <w:sz w:val="24"/>
                <w:szCs w:val="24"/>
              </w:rPr>
              <w:t>Benedito Pedro da Cunha Alexandre</w:t>
            </w:r>
          </w:p>
        </w:tc>
      </w:tr>
      <w:tr w:rsidR="008472C0" w:rsidRPr="009B7685" w14:paraId="2991CDC6" w14:textId="77777777" w:rsidTr="4F2C0FBD">
        <w:tc>
          <w:tcPr>
            <w:tcW w:w="2943" w:type="dxa"/>
          </w:tcPr>
          <w:p w14:paraId="1D95CA24" w14:textId="77777777" w:rsidR="008472C0" w:rsidRPr="009B7685" w:rsidRDefault="4F2C0FBD" w:rsidP="4F2C0FBD">
            <w:pPr>
              <w:jc w:val="both"/>
              <w:rPr>
                <w:rFonts w:eastAsiaTheme="minorEastAsia"/>
                <w:sz w:val="24"/>
                <w:szCs w:val="24"/>
              </w:rPr>
            </w:pPr>
            <w:r w:rsidRPr="4F2C0FBD">
              <w:rPr>
                <w:rFonts w:eastAsiaTheme="minorEastAsia"/>
                <w:sz w:val="24"/>
                <w:szCs w:val="24"/>
              </w:rPr>
              <w:t>Matrícula</w:t>
            </w:r>
          </w:p>
        </w:tc>
        <w:tc>
          <w:tcPr>
            <w:tcW w:w="5812" w:type="dxa"/>
          </w:tcPr>
          <w:p w14:paraId="16788BA4" w14:textId="77777777" w:rsidR="008472C0" w:rsidRPr="009B7685" w:rsidRDefault="4F2C0FBD" w:rsidP="4F2C0FBD">
            <w:pPr>
              <w:jc w:val="both"/>
              <w:rPr>
                <w:rFonts w:eastAsiaTheme="minorEastAsia"/>
                <w:sz w:val="24"/>
                <w:szCs w:val="24"/>
              </w:rPr>
            </w:pPr>
            <w:r w:rsidRPr="4F2C0FBD">
              <w:rPr>
                <w:rFonts w:eastAsiaTheme="minorEastAsia"/>
                <w:sz w:val="24"/>
                <w:szCs w:val="24"/>
              </w:rPr>
              <w:t>6590</w:t>
            </w:r>
          </w:p>
        </w:tc>
      </w:tr>
      <w:tr w:rsidR="008472C0" w:rsidRPr="009B7685" w14:paraId="41FF4EC2" w14:textId="77777777" w:rsidTr="4F2C0FBD">
        <w:tc>
          <w:tcPr>
            <w:tcW w:w="2943" w:type="dxa"/>
          </w:tcPr>
          <w:p w14:paraId="598FEB70" w14:textId="77777777" w:rsidR="008472C0" w:rsidRPr="009B7685" w:rsidRDefault="4F2C0FBD" w:rsidP="4F2C0FBD">
            <w:pPr>
              <w:jc w:val="both"/>
              <w:rPr>
                <w:rFonts w:eastAsiaTheme="minorEastAsia"/>
                <w:sz w:val="24"/>
                <w:szCs w:val="24"/>
              </w:rPr>
            </w:pPr>
            <w:r w:rsidRPr="4F2C0FBD">
              <w:rPr>
                <w:rFonts w:eastAsiaTheme="minorEastAsia"/>
                <w:sz w:val="24"/>
                <w:szCs w:val="24"/>
              </w:rPr>
              <w:t>E-Mail</w:t>
            </w:r>
          </w:p>
        </w:tc>
        <w:tc>
          <w:tcPr>
            <w:tcW w:w="5812" w:type="dxa"/>
          </w:tcPr>
          <w:p w14:paraId="0147FE9C" w14:textId="77777777" w:rsidR="008472C0" w:rsidRPr="009B7685" w:rsidRDefault="4F2C0FBD" w:rsidP="4F2C0FBD">
            <w:pPr>
              <w:jc w:val="both"/>
              <w:rPr>
                <w:rFonts w:eastAsiaTheme="minorEastAsia"/>
                <w:sz w:val="24"/>
                <w:szCs w:val="24"/>
              </w:rPr>
            </w:pPr>
            <w:r w:rsidRPr="4F2C0FBD">
              <w:rPr>
                <w:rStyle w:val="Hyperlink"/>
                <w:rFonts w:eastAsiaTheme="minorEastAsia"/>
              </w:rPr>
              <w:t>benedito.alexandre@tjmt.jus.br</w:t>
            </w:r>
          </w:p>
        </w:tc>
      </w:tr>
      <w:tr w:rsidR="008472C0" w:rsidRPr="009B7685" w14:paraId="4051DBE3" w14:textId="77777777" w:rsidTr="4F2C0FBD">
        <w:tc>
          <w:tcPr>
            <w:tcW w:w="2943" w:type="dxa"/>
          </w:tcPr>
          <w:p w14:paraId="7A7D4922" w14:textId="77777777" w:rsidR="008472C0" w:rsidRPr="009B7685" w:rsidRDefault="4F2C0FBD" w:rsidP="4F2C0FBD">
            <w:pPr>
              <w:jc w:val="both"/>
              <w:rPr>
                <w:rFonts w:eastAsiaTheme="minorEastAsia"/>
                <w:sz w:val="24"/>
                <w:szCs w:val="24"/>
              </w:rPr>
            </w:pPr>
            <w:r w:rsidRPr="4F2C0FBD">
              <w:rPr>
                <w:rFonts w:eastAsiaTheme="minorEastAsia"/>
                <w:sz w:val="24"/>
                <w:szCs w:val="24"/>
              </w:rPr>
              <w:t>Área (Departamento/Setor)</w:t>
            </w:r>
          </w:p>
        </w:tc>
        <w:tc>
          <w:tcPr>
            <w:tcW w:w="5812" w:type="dxa"/>
          </w:tcPr>
          <w:p w14:paraId="336B8ECB" w14:textId="77777777" w:rsidR="008472C0" w:rsidRPr="009B7685" w:rsidRDefault="4F2C0FBD" w:rsidP="4F2C0FBD">
            <w:pPr>
              <w:jc w:val="both"/>
              <w:rPr>
                <w:rFonts w:eastAsiaTheme="minorEastAsia"/>
                <w:sz w:val="24"/>
                <w:szCs w:val="24"/>
              </w:rPr>
            </w:pPr>
            <w:r w:rsidRPr="4F2C0FBD">
              <w:rPr>
                <w:rFonts w:eastAsiaTheme="minorEastAsia"/>
                <w:sz w:val="24"/>
                <w:szCs w:val="24"/>
              </w:rPr>
              <w:t>Departamento de Conectividade</w:t>
            </w:r>
          </w:p>
        </w:tc>
      </w:tr>
      <w:tr w:rsidR="008472C0" w:rsidRPr="009B7685" w14:paraId="1D26F658" w14:textId="77777777" w:rsidTr="4F2C0FBD">
        <w:tc>
          <w:tcPr>
            <w:tcW w:w="2943" w:type="dxa"/>
          </w:tcPr>
          <w:p w14:paraId="1F6D5AA6" w14:textId="77777777" w:rsidR="008472C0" w:rsidRPr="009B7685" w:rsidRDefault="4F2C0FBD" w:rsidP="4F2C0FBD">
            <w:pPr>
              <w:jc w:val="both"/>
              <w:rPr>
                <w:rFonts w:eastAsiaTheme="minorEastAsia"/>
                <w:sz w:val="24"/>
                <w:szCs w:val="24"/>
              </w:rPr>
            </w:pPr>
            <w:r w:rsidRPr="4F2C0FBD">
              <w:rPr>
                <w:rFonts w:eastAsiaTheme="minorEastAsia"/>
                <w:sz w:val="24"/>
                <w:szCs w:val="24"/>
              </w:rPr>
              <w:t>Assinatura</w:t>
            </w:r>
          </w:p>
        </w:tc>
        <w:tc>
          <w:tcPr>
            <w:tcW w:w="5812" w:type="dxa"/>
          </w:tcPr>
          <w:p w14:paraId="413B5B36" w14:textId="77777777" w:rsidR="008472C0" w:rsidRPr="009B7685" w:rsidRDefault="008472C0" w:rsidP="0069655B">
            <w:pPr>
              <w:jc w:val="both"/>
              <w:rPr>
                <w:rFonts w:cstheme="minorHAnsi"/>
                <w:sz w:val="24"/>
                <w:szCs w:val="24"/>
              </w:rPr>
            </w:pPr>
          </w:p>
        </w:tc>
      </w:tr>
    </w:tbl>
    <w:p w14:paraId="7AC54BA2" w14:textId="77777777" w:rsidR="008472C0" w:rsidRPr="009B7685" w:rsidRDefault="4F2C0FBD" w:rsidP="4F2C0FBD">
      <w:pPr>
        <w:pStyle w:val="Primeirorecuodecorpodetexto"/>
        <w:numPr>
          <w:ilvl w:val="0"/>
          <w:numId w:val="2"/>
        </w:numPr>
        <w:spacing w:before="240" w:after="0"/>
        <w:rPr>
          <w:rFonts w:eastAsiaTheme="minorEastAsia"/>
          <w:sz w:val="24"/>
          <w:szCs w:val="24"/>
        </w:rPr>
      </w:pPr>
      <w:r w:rsidRPr="4F2C0FBD">
        <w:rPr>
          <w:rFonts w:eastAsiaTheme="minorEastAsia"/>
          <w:sz w:val="24"/>
          <w:szCs w:val="24"/>
        </w:rPr>
        <w:t>Integrante Demandante Substituto</w:t>
      </w:r>
    </w:p>
    <w:tbl>
      <w:tblPr>
        <w:tblStyle w:val="Tabelacomgrade"/>
        <w:tblW w:w="8755" w:type="dxa"/>
        <w:tblLook w:val="04A0" w:firstRow="1" w:lastRow="0" w:firstColumn="1" w:lastColumn="0" w:noHBand="0" w:noVBand="1"/>
      </w:tblPr>
      <w:tblGrid>
        <w:gridCol w:w="2943"/>
        <w:gridCol w:w="5812"/>
      </w:tblGrid>
      <w:tr w:rsidR="008472C0" w:rsidRPr="009B7685" w14:paraId="60AEEE38" w14:textId="77777777" w:rsidTr="4F2C0FBD">
        <w:tc>
          <w:tcPr>
            <w:tcW w:w="2943" w:type="dxa"/>
          </w:tcPr>
          <w:p w14:paraId="7DF3727F" w14:textId="77777777" w:rsidR="008472C0" w:rsidRPr="009B7685" w:rsidRDefault="4F2C0FBD" w:rsidP="4F2C0FBD">
            <w:pPr>
              <w:jc w:val="both"/>
              <w:rPr>
                <w:rFonts w:eastAsiaTheme="minorEastAsia"/>
                <w:sz w:val="24"/>
                <w:szCs w:val="24"/>
              </w:rPr>
            </w:pPr>
            <w:r w:rsidRPr="4F2C0FBD">
              <w:rPr>
                <w:rFonts w:eastAsiaTheme="minorEastAsia"/>
                <w:sz w:val="24"/>
                <w:szCs w:val="24"/>
              </w:rPr>
              <w:t>Nome</w:t>
            </w:r>
          </w:p>
        </w:tc>
        <w:tc>
          <w:tcPr>
            <w:tcW w:w="5812" w:type="dxa"/>
          </w:tcPr>
          <w:p w14:paraId="7F7C5AA8" w14:textId="77777777" w:rsidR="008472C0" w:rsidRPr="009B7685" w:rsidRDefault="4F2C0FBD" w:rsidP="4F2C0FBD">
            <w:pPr>
              <w:jc w:val="both"/>
              <w:rPr>
                <w:rFonts w:eastAsiaTheme="minorEastAsia"/>
                <w:sz w:val="24"/>
                <w:szCs w:val="24"/>
              </w:rPr>
            </w:pPr>
            <w:r w:rsidRPr="4F2C0FBD">
              <w:rPr>
                <w:rFonts w:eastAsiaTheme="minorEastAsia"/>
                <w:sz w:val="24"/>
                <w:szCs w:val="24"/>
              </w:rPr>
              <w:t>Thomás Augusto Caetano</w:t>
            </w:r>
          </w:p>
        </w:tc>
      </w:tr>
      <w:tr w:rsidR="008472C0" w:rsidRPr="009B7685" w14:paraId="28578A38" w14:textId="77777777" w:rsidTr="4F2C0FBD">
        <w:tc>
          <w:tcPr>
            <w:tcW w:w="2943" w:type="dxa"/>
          </w:tcPr>
          <w:p w14:paraId="31F5B8AE" w14:textId="77777777" w:rsidR="008472C0" w:rsidRPr="009B7685" w:rsidRDefault="4F2C0FBD" w:rsidP="4F2C0FBD">
            <w:pPr>
              <w:jc w:val="both"/>
              <w:rPr>
                <w:rFonts w:eastAsiaTheme="minorEastAsia"/>
                <w:sz w:val="24"/>
                <w:szCs w:val="24"/>
              </w:rPr>
            </w:pPr>
            <w:r w:rsidRPr="4F2C0FBD">
              <w:rPr>
                <w:rFonts w:eastAsiaTheme="minorEastAsia"/>
                <w:sz w:val="24"/>
                <w:szCs w:val="24"/>
              </w:rPr>
              <w:t>Matrícula</w:t>
            </w:r>
          </w:p>
        </w:tc>
        <w:tc>
          <w:tcPr>
            <w:tcW w:w="5812" w:type="dxa"/>
          </w:tcPr>
          <w:p w14:paraId="3ABAB8FD" w14:textId="77777777" w:rsidR="008472C0" w:rsidRPr="009B7685" w:rsidRDefault="4F2C0FBD" w:rsidP="4F2C0FBD">
            <w:pPr>
              <w:jc w:val="both"/>
              <w:rPr>
                <w:rFonts w:eastAsiaTheme="minorEastAsia"/>
                <w:sz w:val="24"/>
                <w:szCs w:val="24"/>
              </w:rPr>
            </w:pPr>
            <w:r w:rsidRPr="4F2C0FBD">
              <w:rPr>
                <w:rFonts w:eastAsiaTheme="minorEastAsia"/>
                <w:sz w:val="24"/>
                <w:szCs w:val="24"/>
              </w:rPr>
              <w:t>5544</w:t>
            </w:r>
          </w:p>
        </w:tc>
      </w:tr>
      <w:tr w:rsidR="008472C0" w:rsidRPr="009B7685" w14:paraId="6D0FF6E6" w14:textId="77777777" w:rsidTr="4F2C0FBD">
        <w:tc>
          <w:tcPr>
            <w:tcW w:w="2943" w:type="dxa"/>
          </w:tcPr>
          <w:p w14:paraId="415E44AF" w14:textId="77777777" w:rsidR="008472C0" w:rsidRPr="009B7685" w:rsidRDefault="4F2C0FBD" w:rsidP="4F2C0FBD">
            <w:pPr>
              <w:jc w:val="both"/>
              <w:rPr>
                <w:rFonts w:eastAsiaTheme="minorEastAsia"/>
                <w:sz w:val="24"/>
                <w:szCs w:val="24"/>
              </w:rPr>
            </w:pPr>
            <w:r w:rsidRPr="4F2C0FBD">
              <w:rPr>
                <w:rFonts w:eastAsiaTheme="minorEastAsia"/>
                <w:sz w:val="24"/>
                <w:szCs w:val="24"/>
              </w:rPr>
              <w:t>E-Mail</w:t>
            </w:r>
          </w:p>
        </w:tc>
        <w:tc>
          <w:tcPr>
            <w:tcW w:w="5812" w:type="dxa"/>
          </w:tcPr>
          <w:p w14:paraId="587DCC35" w14:textId="77777777" w:rsidR="008472C0" w:rsidRPr="009B7685" w:rsidRDefault="00044427" w:rsidP="0069655B">
            <w:pPr>
              <w:jc w:val="both"/>
              <w:rPr>
                <w:rFonts w:cstheme="minorHAnsi"/>
                <w:sz w:val="24"/>
                <w:szCs w:val="24"/>
              </w:rPr>
            </w:pPr>
            <w:hyperlink r:id="rId20" w:history="1">
              <w:r w:rsidR="008472C0" w:rsidRPr="009B7685">
                <w:rPr>
                  <w:rStyle w:val="Hyperlink"/>
                  <w:rFonts w:cstheme="minorHAnsi"/>
                  <w:sz w:val="24"/>
                  <w:szCs w:val="24"/>
                </w:rPr>
                <w:t>thomas.caetano@tjmt.jus.br</w:t>
              </w:r>
            </w:hyperlink>
          </w:p>
        </w:tc>
      </w:tr>
      <w:tr w:rsidR="008472C0" w:rsidRPr="009B7685" w14:paraId="34B879B9" w14:textId="77777777" w:rsidTr="4F2C0FBD">
        <w:tc>
          <w:tcPr>
            <w:tcW w:w="2943" w:type="dxa"/>
          </w:tcPr>
          <w:p w14:paraId="187FDA1B" w14:textId="77777777" w:rsidR="008472C0" w:rsidRPr="009B7685" w:rsidRDefault="4F2C0FBD" w:rsidP="4F2C0FBD">
            <w:pPr>
              <w:jc w:val="both"/>
              <w:rPr>
                <w:rFonts w:eastAsiaTheme="minorEastAsia"/>
                <w:sz w:val="24"/>
                <w:szCs w:val="24"/>
              </w:rPr>
            </w:pPr>
            <w:r w:rsidRPr="4F2C0FBD">
              <w:rPr>
                <w:rFonts w:eastAsiaTheme="minorEastAsia"/>
                <w:sz w:val="24"/>
                <w:szCs w:val="24"/>
              </w:rPr>
              <w:t>Área (Departamento/Setor)</w:t>
            </w:r>
          </w:p>
        </w:tc>
        <w:tc>
          <w:tcPr>
            <w:tcW w:w="5812" w:type="dxa"/>
          </w:tcPr>
          <w:p w14:paraId="7BDEFDB8" w14:textId="77777777" w:rsidR="008472C0" w:rsidRPr="009B7685" w:rsidRDefault="4F2C0FBD" w:rsidP="4F2C0FBD">
            <w:pPr>
              <w:jc w:val="both"/>
              <w:rPr>
                <w:rFonts w:eastAsiaTheme="minorEastAsia"/>
                <w:sz w:val="24"/>
                <w:szCs w:val="24"/>
              </w:rPr>
            </w:pPr>
            <w:r w:rsidRPr="4F2C0FBD">
              <w:rPr>
                <w:rFonts w:eastAsiaTheme="minorEastAsia"/>
                <w:sz w:val="24"/>
                <w:szCs w:val="24"/>
              </w:rPr>
              <w:t>Coordenadoria de Tecnologia da Informação</w:t>
            </w:r>
          </w:p>
        </w:tc>
      </w:tr>
      <w:tr w:rsidR="008472C0" w:rsidRPr="009B7685" w14:paraId="6657518C" w14:textId="77777777" w:rsidTr="4F2C0FBD">
        <w:tc>
          <w:tcPr>
            <w:tcW w:w="2943" w:type="dxa"/>
          </w:tcPr>
          <w:p w14:paraId="24228E0B" w14:textId="77777777" w:rsidR="008472C0" w:rsidRPr="009B7685" w:rsidRDefault="4F2C0FBD" w:rsidP="4F2C0FBD">
            <w:pPr>
              <w:jc w:val="both"/>
              <w:rPr>
                <w:rFonts w:eastAsiaTheme="minorEastAsia"/>
                <w:sz w:val="24"/>
                <w:szCs w:val="24"/>
              </w:rPr>
            </w:pPr>
            <w:r w:rsidRPr="4F2C0FBD">
              <w:rPr>
                <w:rFonts w:eastAsiaTheme="minorEastAsia"/>
                <w:sz w:val="24"/>
                <w:szCs w:val="24"/>
              </w:rPr>
              <w:t>Assinatura</w:t>
            </w:r>
          </w:p>
        </w:tc>
        <w:tc>
          <w:tcPr>
            <w:tcW w:w="5812" w:type="dxa"/>
          </w:tcPr>
          <w:p w14:paraId="5CAFFBAF" w14:textId="77777777" w:rsidR="008472C0" w:rsidRPr="009B7685" w:rsidRDefault="008472C0" w:rsidP="0069655B">
            <w:pPr>
              <w:jc w:val="both"/>
              <w:rPr>
                <w:rFonts w:cstheme="minorHAnsi"/>
                <w:sz w:val="24"/>
                <w:szCs w:val="24"/>
              </w:rPr>
            </w:pPr>
          </w:p>
        </w:tc>
      </w:tr>
    </w:tbl>
    <w:p w14:paraId="3EE0540E" w14:textId="77777777" w:rsidR="008472C0" w:rsidRPr="009B7685" w:rsidRDefault="4F2C0FBD" w:rsidP="4F2C0FBD">
      <w:pPr>
        <w:pStyle w:val="Primeirorecuodecorpodetexto"/>
        <w:numPr>
          <w:ilvl w:val="0"/>
          <w:numId w:val="2"/>
        </w:numPr>
        <w:spacing w:before="240" w:after="0"/>
        <w:rPr>
          <w:rFonts w:eastAsiaTheme="minorEastAsia"/>
          <w:sz w:val="24"/>
          <w:szCs w:val="24"/>
        </w:rPr>
      </w:pPr>
      <w:r w:rsidRPr="4F2C0FBD">
        <w:rPr>
          <w:rFonts w:eastAsiaTheme="minorEastAsia"/>
          <w:sz w:val="24"/>
          <w:szCs w:val="24"/>
        </w:rPr>
        <w:t>Integrante Técnico</w:t>
      </w:r>
    </w:p>
    <w:tbl>
      <w:tblPr>
        <w:tblStyle w:val="Tabelacomgrade"/>
        <w:tblW w:w="8755" w:type="dxa"/>
        <w:tblLook w:val="04A0" w:firstRow="1" w:lastRow="0" w:firstColumn="1" w:lastColumn="0" w:noHBand="0" w:noVBand="1"/>
      </w:tblPr>
      <w:tblGrid>
        <w:gridCol w:w="2943"/>
        <w:gridCol w:w="5812"/>
      </w:tblGrid>
      <w:tr w:rsidR="008472C0" w:rsidRPr="009B7685" w14:paraId="76741DC5" w14:textId="77777777" w:rsidTr="4F2C0FBD">
        <w:tc>
          <w:tcPr>
            <w:tcW w:w="2943" w:type="dxa"/>
          </w:tcPr>
          <w:p w14:paraId="3F058204" w14:textId="77777777" w:rsidR="008472C0" w:rsidRPr="009B7685" w:rsidRDefault="4F2C0FBD" w:rsidP="4F2C0FBD">
            <w:pPr>
              <w:jc w:val="both"/>
              <w:rPr>
                <w:rFonts w:eastAsiaTheme="minorEastAsia"/>
                <w:sz w:val="24"/>
                <w:szCs w:val="24"/>
              </w:rPr>
            </w:pPr>
            <w:r w:rsidRPr="4F2C0FBD">
              <w:rPr>
                <w:rFonts w:eastAsiaTheme="minorEastAsia"/>
                <w:sz w:val="24"/>
                <w:szCs w:val="24"/>
              </w:rPr>
              <w:t>Nome</w:t>
            </w:r>
          </w:p>
        </w:tc>
        <w:tc>
          <w:tcPr>
            <w:tcW w:w="5812" w:type="dxa"/>
          </w:tcPr>
          <w:p w14:paraId="5159A0A1" w14:textId="77777777" w:rsidR="008472C0" w:rsidRPr="009B7685" w:rsidRDefault="4F2C0FBD" w:rsidP="4F2C0FBD">
            <w:pPr>
              <w:jc w:val="both"/>
              <w:rPr>
                <w:rFonts w:eastAsiaTheme="minorEastAsia"/>
                <w:sz w:val="24"/>
                <w:szCs w:val="24"/>
              </w:rPr>
            </w:pPr>
            <w:r w:rsidRPr="4F2C0FBD">
              <w:rPr>
                <w:rFonts w:eastAsiaTheme="minorEastAsia"/>
                <w:sz w:val="24"/>
                <w:szCs w:val="24"/>
              </w:rPr>
              <w:t>Danyllo Carvalho</w:t>
            </w:r>
          </w:p>
        </w:tc>
      </w:tr>
      <w:tr w:rsidR="008472C0" w:rsidRPr="009B7685" w14:paraId="15F5C892" w14:textId="77777777" w:rsidTr="4F2C0FBD">
        <w:tc>
          <w:tcPr>
            <w:tcW w:w="2943" w:type="dxa"/>
          </w:tcPr>
          <w:p w14:paraId="5FA7143D" w14:textId="77777777" w:rsidR="008472C0" w:rsidRPr="009B7685" w:rsidRDefault="4F2C0FBD" w:rsidP="4F2C0FBD">
            <w:pPr>
              <w:jc w:val="both"/>
              <w:rPr>
                <w:rFonts w:eastAsiaTheme="minorEastAsia"/>
                <w:sz w:val="24"/>
                <w:szCs w:val="24"/>
              </w:rPr>
            </w:pPr>
            <w:r w:rsidRPr="4F2C0FBD">
              <w:rPr>
                <w:rFonts w:eastAsiaTheme="minorEastAsia"/>
                <w:sz w:val="24"/>
                <w:szCs w:val="24"/>
              </w:rPr>
              <w:t>Matrícula</w:t>
            </w:r>
          </w:p>
        </w:tc>
        <w:tc>
          <w:tcPr>
            <w:tcW w:w="5812" w:type="dxa"/>
          </w:tcPr>
          <w:p w14:paraId="27C043CD" w14:textId="77777777" w:rsidR="008472C0" w:rsidRPr="009B7685" w:rsidRDefault="4F2C0FBD" w:rsidP="4F2C0FBD">
            <w:pPr>
              <w:jc w:val="both"/>
              <w:rPr>
                <w:rFonts w:eastAsiaTheme="minorEastAsia"/>
                <w:sz w:val="24"/>
                <w:szCs w:val="24"/>
              </w:rPr>
            </w:pPr>
            <w:r w:rsidRPr="4F2C0FBD">
              <w:rPr>
                <w:rFonts w:eastAsiaTheme="minorEastAsia"/>
                <w:sz w:val="24"/>
                <w:szCs w:val="24"/>
              </w:rPr>
              <w:t>25926</w:t>
            </w:r>
          </w:p>
        </w:tc>
      </w:tr>
      <w:tr w:rsidR="008472C0" w:rsidRPr="009B7685" w14:paraId="4DEC618E" w14:textId="77777777" w:rsidTr="4F2C0FBD">
        <w:tc>
          <w:tcPr>
            <w:tcW w:w="2943" w:type="dxa"/>
          </w:tcPr>
          <w:p w14:paraId="111C4C41" w14:textId="77777777" w:rsidR="008472C0" w:rsidRPr="009B7685" w:rsidRDefault="4F2C0FBD" w:rsidP="4F2C0FBD">
            <w:pPr>
              <w:jc w:val="both"/>
              <w:rPr>
                <w:rFonts w:eastAsiaTheme="minorEastAsia"/>
                <w:sz w:val="24"/>
                <w:szCs w:val="24"/>
              </w:rPr>
            </w:pPr>
            <w:r w:rsidRPr="4F2C0FBD">
              <w:rPr>
                <w:rFonts w:eastAsiaTheme="minorEastAsia"/>
                <w:sz w:val="24"/>
                <w:szCs w:val="24"/>
              </w:rPr>
              <w:t>E-Mail</w:t>
            </w:r>
          </w:p>
        </w:tc>
        <w:tc>
          <w:tcPr>
            <w:tcW w:w="5812" w:type="dxa"/>
          </w:tcPr>
          <w:p w14:paraId="05A60A78" w14:textId="77777777" w:rsidR="008472C0" w:rsidRPr="009B7685" w:rsidRDefault="00044427" w:rsidP="0069655B">
            <w:pPr>
              <w:jc w:val="both"/>
              <w:rPr>
                <w:rFonts w:cstheme="minorHAnsi"/>
                <w:sz w:val="24"/>
                <w:szCs w:val="24"/>
              </w:rPr>
            </w:pPr>
            <w:hyperlink r:id="rId21" w:history="1">
              <w:r w:rsidR="008472C0" w:rsidRPr="009B7685">
                <w:rPr>
                  <w:rStyle w:val="Hyperlink"/>
                  <w:rFonts w:cstheme="minorHAnsi"/>
                  <w:sz w:val="24"/>
                  <w:szCs w:val="24"/>
                </w:rPr>
                <w:t>danyllo.carvalho@tjmt.jus.br</w:t>
              </w:r>
            </w:hyperlink>
          </w:p>
        </w:tc>
      </w:tr>
      <w:tr w:rsidR="008472C0" w:rsidRPr="009B7685" w14:paraId="7A8BCD8F" w14:textId="77777777" w:rsidTr="4F2C0FBD">
        <w:tc>
          <w:tcPr>
            <w:tcW w:w="2943" w:type="dxa"/>
          </w:tcPr>
          <w:p w14:paraId="006754C3" w14:textId="77777777" w:rsidR="008472C0" w:rsidRPr="009B7685" w:rsidRDefault="4F2C0FBD" w:rsidP="4F2C0FBD">
            <w:pPr>
              <w:jc w:val="both"/>
              <w:rPr>
                <w:rFonts w:eastAsiaTheme="minorEastAsia"/>
                <w:sz w:val="24"/>
                <w:szCs w:val="24"/>
              </w:rPr>
            </w:pPr>
            <w:r w:rsidRPr="4F2C0FBD">
              <w:rPr>
                <w:rFonts w:eastAsiaTheme="minorEastAsia"/>
                <w:sz w:val="24"/>
                <w:szCs w:val="24"/>
              </w:rPr>
              <w:t>Área (Departamento/Setor)</w:t>
            </w:r>
          </w:p>
        </w:tc>
        <w:tc>
          <w:tcPr>
            <w:tcW w:w="5812" w:type="dxa"/>
          </w:tcPr>
          <w:p w14:paraId="172B7DF5" w14:textId="77777777" w:rsidR="008472C0" w:rsidRPr="009B7685" w:rsidRDefault="4F2C0FBD" w:rsidP="4F2C0FBD">
            <w:pPr>
              <w:jc w:val="both"/>
              <w:rPr>
                <w:rFonts w:eastAsiaTheme="minorEastAsia"/>
                <w:sz w:val="24"/>
                <w:szCs w:val="24"/>
              </w:rPr>
            </w:pPr>
            <w:r w:rsidRPr="4F2C0FBD">
              <w:rPr>
                <w:rFonts w:eastAsiaTheme="minorEastAsia"/>
                <w:sz w:val="24"/>
                <w:szCs w:val="24"/>
              </w:rPr>
              <w:t>Departamento de Conectividade</w:t>
            </w:r>
          </w:p>
        </w:tc>
      </w:tr>
      <w:tr w:rsidR="008472C0" w:rsidRPr="009B7685" w14:paraId="1F333D7D" w14:textId="77777777" w:rsidTr="4F2C0FBD">
        <w:tc>
          <w:tcPr>
            <w:tcW w:w="2943" w:type="dxa"/>
          </w:tcPr>
          <w:p w14:paraId="6059DFF0" w14:textId="77777777" w:rsidR="008472C0" w:rsidRPr="009B7685" w:rsidRDefault="4F2C0FBD" w:rsidP="4F2C0FBD">
            <w:pPr>
              <w:jc w:val="both"/>
              <w:rPr>
                <w:rFonts w:eastAsiaTheme="minorEastAsia"/>
                <w:sz w:val="24"/>
                <w:szCs w:val="24"/>
              </w:rPr>
            </w:pPr>
            <w:r w:rsidRPr="4F2C0FBD">
              <w:rPr>
                <w:rFonts w:eastAsiaTheme="minorEastAsia"/>
                <w:sz w:val="24"/>
                <w:szCs w:val="24"/>
              </w:rPr>
              <w:t>Assinatura</w:t>
            </w:r>
          </w:p>
        </w:tc>
        <w:tc>
          <w:tcPr>
            <w:tcW w:w="5812" w:type="dxa"/>
          </w:tcPr>
          <w:p w14:paraId="72F0E94E" w14:textId="77777777" w:rsidR="008472C0" w:rsidRPr="009B7685" w:rsidRDefault="008472C0" w:rsidP="0069655B">
            <w:pPr>
              <w:jc w:val="both"/>
              <w:rPr>
                <w:rFonts w:cstheme="minorHAnsi"/>
                <w:sz w:val="24"/>
                <w:szCs w:val="24"/>
              </w:rPr>
            </w:pPr>
          </w:p>
        </w:tc>
      </w:tr>
    </w:tbl>
    <w:p w14:paraId="0BCAAA79" w14:textId="77777777" w:rsidR="008472C0" w:rsidRPr="009B7685" w:rsidRDefault="4F2C0FBD" w:rsidP="4F2C0FBD">
      <w:pPr>
        <w:pStyle w:val="Primeirorecuodecorpodetexto"/>
        <w:numPr>
          <w:ilvl w:val="0"/>
          <w:numId w:val="2"/>
        </w:numPr>
        <w:spacing w:before="240" w:after="0"/>
        <w:rPr>
          <w:rFonts w:eastAsiaTheme="minorEastAsia"/>
          <w:sz w:val="24"/>
          <w:szCs w:val="24"/>
        </w:rPr>
      </w:pPr>
      <w:r w:rsidRPr="4F2C0FBD">
        <w:rPr>
          <w:rFonts w:eastAsiaTheme="minorEastAsia"/>
          <w:sz w:val="24"/>
          <w:szCs w:val="24"/>
        </w:rPr>
        <w:t>Integrante Técnico Substituto</w:t>
      </w:r>
    </w:p>
    <w:tbl>
      <w:tblPr>
        <w:tblStyle w:val="Tabelacomgrade"/>
        <w:tblW w:w="8755" w:type="dxa"/>
        <w:tblLook w:val="04A0" w:firstRow="1" w:lastRow="0" w:firstColumn="1" w:lastColumn="0" w:noHBand="0" w:noVBand="1"/>
      </w:tblPr>
      <w:tblGrid>
        <w:gridCol w:w="2943"/>
        <w:gridCol w:w="5812"/>
      </w:tblGrid>
      <w:tr w:rsidR="008472C0" w:rsidRPr="009B7685" w14:paraId="5DD23D65" w14:textId="77777777" w:rsidTr="4F2C0FBD">
        <w:tc>
          <w:tcPr>
            <w:tcW w:w="2943" w:type="dxa"/>
          </w:tcPr>
          <w:p w14:paraId="78FA9110" w14:textId="77777777" w:rsidR="008472C0" w:rsidRPr="009B7685" w:rsidRDefault="4F2C0FBD" w:rsidP="4F2C0FBD">
            <w:pPr>
              <w:jc w:val="both"/>
              <w:rPr>
                <w:rFonts w:eastAsiaTheme="minorEastAsia"/>
                <w:sz w:val="24"/>
                <w:szCs w:val="24"/>
              </w:rPr>
            </w:pPr>
            <w:r w:rsidRPr="4F2C0FBD">
              <w:rPr>
                <w:rFonts w:eastAsiaTheme="minorEastAsia"/>
                <w:sz w:val="24"/>
                <w:szCs w:val="24"/>
              </w:rPr>
              <w:t>Nome</w:t>
            </w:r>
          </w:p>
        </w:tc>
        <w:tc>
          <w:tcPr>
            <w:tcW w:w="5812" w:type="dxa"/>
          </w:tcPr>
          <w:p w14:paraId="3F9BF9FD" w14:textId="77777777" w:rsidR="008472C0" w:rsidRPr="009B7685" w:rsidRDefault="4F2C0FBD" w:rsidP="4F2C0FBD">
            <w:pPr>
              <w:jc w:val="both"/>
              <w:rPr>
                <w:rFonts w:eastAsiaTheme="minorEastAsia"/>
                <w:sz w:val="24"/>
                <w:szCs w:val="24"/>
              </w:rPr>
            </w:pPr>
            <w:r w:rsidRPr="4F2C0FBD">
              <w:rPr>
                <w:rFonts w:eastAsiaTheme="minorEastAsia"/>
                <w:sz w:val="24"/>
                <w:szCs w:val="24"/>
              </w:rPr>
              <w:t>Marcelo Monteiro de Moraes</w:t>
            </w:r>
          </w:p>
        </w:tc>
      </w:tr>
      <w:tr w:rsidR="008472C0" w:rsidRPr="009B7685" w14:paraId="7A59C3EB" w14:textId="77777777" w:rsidTr="4F2C0FBD">
        <w:tc>
          <w:tcPr>
            <w:tcW w:w="2943" w:type="dxa"/>
          </w:tcPr>
          <w:p w14:paraId="658A2767" w14:textId="77777777" w:rsidR="008472C0" w:rsidRPr="009B7685" w:rsidRDefault="4F2C0FBD" w:rsidP="4F2C0FBD">
            <w:pPr>
              <w:jc w:val="both"/>
              <w:rPr>
                <w:rFonts w:eastAsiaTheme="minorEastAsia"/>
                <w:sz w:val="24"/>
                <w:szCs w:val="24"/>
              </w:rPr>
            </w:pPr>
            <w:r w:rsidRPr="4F2C0FBD">
              <w:rPr>
                <w:rFonts w:eastAsiaTheme="minorEastAsia"/>
                <w:sz w:val="24"/>
                <w:szCs w:val="24"/>
              </w:rPr>
              <w:t>Matrícula</w:t>
            </w:r>
          </w:p>
        </w:tc>
        <w:tc>
          <w:tcPr>
            <w:tcW w:w="5812" w:type="dxa"/>
          </w:tcPr>
          <w:p w14:paraId="001680D9" w14:textId="77777777" w:rsidR="008472C0" w:rsidRPr="009B7685" w:rsidRDefault="4F2C0FBD" w:rsidP="4F2C0FBD">
            <w:pPr>
              <w:jc w:val="both"/>
              <w:rPr>
                <w:rFonts w:eastAsiaTheme="minorEastAsia"/>
                <w:sz w:val="24"/>
                <w:szCs w:val="24"/>
              </w:rPr>
            </w:pPr>
            <w:r w:rsidRPr="4F2C0FBD">
              <w:rPr>
                <w:rFonts w:eastAsiaTheme="minorEastAsia"/>
                <w:sz w:val="24"/>
                <w:szCs w:val="24"/>
              </w:rPr>
              <w:t>9838</w:t>
            </w:r>
          </w:p>
        </w:tc>
      </w:tr>
      <w:tr w:rsidR="008472C0" w:rsidRPr="009B7685" w14:paraId="704B24E7" w14:textId="77777777" w:rsidTr="4F2C0FBD">
        <w:tc>
          <w:tcPr>
            <w:tcW w:w="2943" w:type="dxa"/>
          </w:tcPr>
          <w:p w14:paraId="60BE0C53" w14:textId="77777777" w:rsidR="008472C0" w:rsidRPr="009B7685" w:rsidRDefault="4F2C0FBD" w:rsidP="4F2C0FBD">
            <w:pPr>
              <w:jc w:val="both"/>
              <w:rPr>
                <w:rFonts w:eastAsiaTheme="minorEastAsia"/>
                <w:sz w:val="24"/>
                <w:szCs w:val="24"/>
              </w:rPr>
            </w:pPr>
            <w:r w:rsidRPr="4F2C0FBD">
              <w:rPr>
                <w:rFonts w:eastAsiaTheme="minorEastAsia"/>
                <w:sz w:val="24"/>
                <w:szCs w:val="24"/>
              </w:rPr>
              <w:t>E-Mail</w:t>
            </w:r>
          </w:p>
        </w:tc>
        <w:tc>
          <w:tcPr>
            <w:tcW w:w="5812" w:type="dxa"/>
          </w:tcPr>
          <w:p w14:paraId="75EBC0AA" w14:textId="77777777" w:rsidR="008472C0" w:rsidRPr="009B7685" w:rsidRDefault="00044427" w:rsidP="0069655B">
            <w:pPr>
              <w:jc w:val="both"/>
              <w:rPr>
                <w:rFonts w:cstheme="minorHAnsi"/>
                <w:sz w:val="24"/>
                <w:szCs w:val="24"/>
              </w:rPr>
            </w:pPr>
            <w:hyperlink r:id="rId22" w:history="1">
              <w:r w:rsidR="008472C0" w:rsidRPr="009B7685">
                <w:rPr>
                  <w:rStyle w:val="Hyperlink"/>
                  <w:rFonts w:cstheme="minorHAnsi"/>
                </w:rPr>
                <w:t>m</w:t>
              </w:r>
              <w:r w:rsidR="008472C0" w:rsidRPr="009B7685">
                <w:rPr>
                  <w:rStyle w:val="Hyperlink"/>
                  <w:rFonts w:cstheme="minorHAnsi"/>
                  <w:sz w:val="24"/>
                  <w:szCs w:val="24"/>
                </w:rPr>
                <w:t>arcelo.moraes@tjmt.jus.br</w:t>
              </w:r>
            </w:hyperlink>
          </w:p>
        </w:tc>
      </w:tr>
      <w:tr w:rsidR="008472C0" w:rsidRPr="009B7685" w14:paraId="587B3814" w14:textId="77777777" w:rsidTr="4F2C0FBD">
        <w:tc>
          <w:tcPr>
            <w:tcW w:w="2943" w:type="dxa"/>
          </w:tcPr>
          <w:p w14:paraId="0DD3A888" w14:textId="77777777" w:rsidR="008472C0" w:rsidRPr="009B7685" w:rsidRDefault="4F2C0FBD" w:rsidP="4F2C0FBD">
            <w:pPr>
              <w:jc w:val="both"/>
              <w:rPr>
                <w:rFonts w:eastAsiaTheme="minorEastAsia"/>
                <w:sz w:val="24"/>
                <w:szCs w:val="24"/>
              </w:rPr>
            </w:pPr>
            <w:r w:rsidRPr="4F2C0FBD">
              <w:rPr>
                <w:rFonts w:eastAsiaTheme="minorEastAsia"/>
                <w:sz w:val="24"/>
                <w:szCs w:val="24"/>
              </w:rPr>
              <w:t>Área (Departamento/Setor)</w:t>
            </w:r>
          </w:p>
        </w:tc>
        <w:tc>
          <w:tcPr>
            <w:tcW w:w="5812" w:type="dxa"/>
          </w:tcPr>
          <w:p w14:paraId="0BF53191" w14:textId="77777777" w:rsidR="008472C0" w:rsidRPr="009B7685" w:rsidRDefault="4F2C0FBD" w:rsidP="4F2C0FBD">
            <w:pPr>
              <w:jc w:val="both"/>
              <w:rPr>
                <w:rFonts w:eastAsiaTheme="minorEastAsia"/>
                <w:sz w:val="24"/>
                <w:szCs w:val="24"/>
              </w:rPr>
            </w:pPr>
            <w:r w:rsidRPr="4F2C0FBD">
              <w:rPr>
                <w:rFonts w:eastAsiaTheme="minorEastAsia"/>
                <w:sz w:val="24"/>
                <w:szCs w:val="24"/>
              </w:rPr>
              <w:t>Departamento de Conectividade</w:t>
            </w:r>
          </w:p>
        </w:tc>
      </w:tr>
      <w:tr w:rsidR="008472C0" w:rsidRPr="009B7685" w14:paraId="64B8030C" w14:textId="77777777" w:rsidTr="4F2C0FBD">
        <w:tc>
          <w:tcPr>
            <w:tcW w:w="2943" w:type="dxa"/>
          </w:tcPr>
          <w:p w14:paraId="0A233E25" w14:textId="77777777" w:rsidR="008472C0" w:rsidRPr="009B7685" w:rsidRDefault="4F2C0FBD" w:rsidP="4F2C0FBD">
            <w:pPr>
              <w:jc w:val="both"/>
              <w:rPr>
                <w:rFonts w:eastAsiaTheme="minorEastAsia"/>
                <w:sz w:val="24"/>
                <w:szCs w:val="24"/>
              </w:rPr>
            </w:pPr>
            <w:r w:rsidRPr="4F2C0FBD">
              <w:rPr>
                <w:rFonts w:eastAsiaTheme="minorEastAsia"/>
                <w:sz w:val="24"/>
                <w:szCs w:val="24"/>
              </w:rPr>
              <w:t>Assinatura</w:t>
            </w:r>
          </w:p>
        </w:tc>
        <w:tc>
          <w:tcPr>
            <w:tcW w:w="5812" w:type="dxa"/>
          </w:tcPr>
          <w:p w14:paraId="0513D3FB" w14:textId="77777777" w:rsidR="008472C0" w:rsidRPr="009B7685" w:rsidRDefault="008472C0" w:rsidP="0069655B">
            <w:pPr>
              <w:jc w:val="both"/>
              <w:rPr>
                <w:rFonts w:cstheme="minorHAnsi"/>
                <w:sz w:val="24"/>
                <w:szCs w:val="24"/>
              </w:rPr>
            </w:pPr>
          </w:p>
        </w:tc>
      </w:tr>
    </w:tbl>
    <w:p w14:paraId="0259CC6A" w14:textId="77777777" w:rsidR="008472C0" w:rsidRPr="009B7685" w:rsidRDefault="008472C0" w:rsidP="4F2C0FBD">
      <w:pPr>
        <w:pStyle w:val="Primeirorecuodecorpodetexto"/>
        <w:numPr>
          <w:ilvl w:val="0"/>
          <w:numId w:val="2"/>
        </w:numPr>
        <w:spacing w:before="240" w:after="0"/>
        <w:rPr>
          <w:rFonts w:eastAsiaTheme="minorEastAsia"/>
          <w:sz w:val="24"/>
          <w:szCs w:val="24"/>
        </w:rPr>
      </w:pPr>
      <w:bookmarkStart w:id="77" w:name="_Toc359341422"/>
      <w:bookmarkStart w:id="78" w:name="_Toc359341529"/>
      <w:bookmarkStart w:id="79" w:name="_Toc359946185"/>
      <w:bookmarkStart w:id="80" w:name="_Toc359946287"/>
      <w:bookmarkStart w:id="81" w:name="_Toc359341423"/>
      <w:bookmarkStart w:id="82" w:name="_Toc359341530"/>
      <w:bookmarkStart w:id="83" w:name="_Toc359946186"/>
      <w:bookmarkStart w:id="84" w:name="_Toc359946288"/>
      <w:bookmarkEnd w:id="77"/>
      <w:bookmarkEnd w:id="78"/>
      <w:bookmarkEnd w:id="79"/>
      <w:bookmarkEnd w:id="80"/>
      <w:bookmarkEnd w:id="81"/>
      <w:bookmarkEnd w:id="82"/>
      <w:bookmarkEnd w:id="83"/>
      <w:bookmarkEnd w:id="84"/>
      <w:r w:rsidRPr="4F2C0FBD">
        <w:rPr>
          <w:rFonts w:eastAsiaTheme="minorEastAsia"/>
          <w:sz w:val="24"/>
          <w:szCs w:val="24"/>
        </w:rPr>
        <w:t>Fiscal e Integrante Administrativo</w:t>
      </w:r>
    </w:p>
    <w:tbl>
      <w:tblPr>
        <w:tblStyle w:val="Tabelacomgrade"/>
        <w:tblW w:w="8755" w:type="dxa"/>
        <w:tblLook w:val="04A0" w:firstRow="1" w:lastRow="0" w:firstColumn="1" w:lastColumn="0" w:noHBand="0" w:noVBand="1"/>
      </w:tblPr>
      <w:tblGrid>
        <w:gridCol w:w="2943"/>
        <w:gridCol w:w="5812"/>
      </w:tblGrid>
      <w:tr w:rsidR="008472C0" w:rsidRPr="009B7685" w14:paraId="704A75C2" w14:textId="77777777" w:rsidTr="4F2C0FBD">
        <w:tc>
          <w:tcPr>
            <w:tcW w:w="2943" w:type="dxa"/>
          </w:tcPr>
          <w:p w14:paraId="4A03A4F2" w14:textId="77777777" w:rsidR="008472C0" w:rsidRPr="009B7685" w:rsidRDefault="4F2C0FBD" w:rsidP="4F2C0FBD">
            <w:pPr>
              <w:jc w:val="both"/>
              <w:rPr>
                <w:rFonts w:eastAsiaTheme="minorEastAsia"/>
                <w:sz w:val="24"/>
                <w:szCs w:val="24"/>
              </w:rPr>
            </w:pPr>
            <w:r w:rsidRPr="4F2C0FBD">
              <w:rPr>
                <w:rFonts w:eastAsiaTheme="minorEastAsia"/>
                <w:sz w:val="24"/>
                <w:szCs w:val="24"/>
              </w:rPr>
              <w:t>Nome</w:t>
            </w:r>
          </w:p>
        </w:tc>
        <w:tc>
          <w:tcPr>
            <w:tcW w:w="5812" w:type="dxa"/>
          </w:tcPr>
          <w:p w14:paraId="08DBB8BA" w14:textId="77777777" w:rsidR="008472C0" w:rsidRPr="009B7685" w:rsidRDefault="008472C0" w:rsidP="4F2C0FBD">
            <w:pPr>
              <w:jc w:val="both"/>
              <w:rPr>
                <w:rFonts w:eastAsiaTheme="minorEastAsia"/>
                <w:sz w:val="24"/>
                <w:szCs w:val="24"/>
              </w:rPr>
            </w:pPr>
            <w:r w:rsidRPr="4F2C0FBD">
              <w:rPr>
                <w:rFonts w:eastAsiaTheme="minorEastAsia"/>
                <w:shd w:val="clear" w:color="auto" w:fill="FFFFFF"/>
              </w:rPr>
              <w:t>Marco Antônio Molina Parada</w:t>
            </w:r>
          </w:p>
        </w:tc>
      </w:tr>
      <w:tr w:rsidR="008472C0" w:rsidRPr="009B7685" w14:paraId="4DCA5FC6" w14:textId="77777777" w:rsidTr="4F2C0FBD">
        <w:tc>
          <w:tcPr>
            <w:tcW w:w="2943" w:type="dxa"/>
          </w:tcPr>
          <w:p w14:paraId="73948A89" w14:textId="77777777" w:rsidR="008472C0" w:rsidRPr="009B7685" w:rsidRDefault="4F2C0FBD" w:rsidP="4F2C0FBD">
            <w:pPr>
              <w:jc w:val="both"/>
              <w:rPr>
                <w:rFonts w:eastAsiaTheme="minorEastAsia"/>
                <w:sz w:val="24"/>
                <w:szCs w:val="24"/>
              </w:rPr>
            </w:pPr>
            <w:r w:rsidRPr="4F2C0FBD">
              <w:rPr>
                <w:rFonts w:eastAsiaTheme="minorEastAsia"/>
                <w:sz w:val="24"/>
                <w:szCs w:val="24"/>
              </w:rPr>
              <w:t>Matrícula</w:t>
            </w:r>
          </w:p>
        </w:tc>
        <w:tc>
          <w:tcPr>
            <w:tcW w:w="5812" w:type="dxa"/>
          </w:tcPr>
          <w:p w14:paraId="24939BBD" w14:textId="77777777" w:rsidR="008472C0" w:rsidRPr="009B7685" w:rsidRDefault="008472C0" w:rsidP="4F2C0FBD">
            <w:pPr>
              <w:jc w:val="both"/>
              <w:rPr>
                <w:rFonts w:eastAsiaTheme="minorEastAsia"/>
                <w:sz w:val="24"/>
                <w:szCs w:val="24"/>
              </w:rPr>
            </w:pPr>
            <w:r w:rsidRPr="4F2C0FBD">
              <w:rPr>
                <w:rFonts w:eastAsiaTheme="minorEastAsia"/>
                <w:shd w:val="clear" w:color="auto" w:fill="FFFFFF"/>
              </w:rPr>
              <w:t>5548</w:t>
            </w:r>
          </w:p>
        </w:tc>
      </w:tr>
      <w:tr w:rsidR="008472C0" w:rsidRPr="009B7685" w14:paraId="11D1BA14" w14:textId="77777777" w:rsidTr="4F2C0FBD">
        <w:tc>
          <w:tcPr>
            <w:tcW w:w="2943" w:type="dxa"/>
          </w:tcPr>
          <w:p w14:paraId="67C91F05" w14:textId="77777777" w:rsidR="008472C0" w:rsidRPr="009B7685" w:rsidRDefault="4F2C0FBD" w:rsidP="4F2C0FBD">
            <w:pPr>
              <w:jc w:val="both"/>
              <w:rPr>
                <w:rFonts w:eastAsiaTheme="minorEastAsia"/>
                <w:sz w:val="24"/>
                <w:szCs w:val="24"/>
              </w:rPr>
            </w:pPr>
            <w:r w:rsidRPr="4F2C0FBD">
              <w:rPr>
                <w:rFonts w:eastAsiaTheme="minorEastAsia"/>
                <w:sz w:val="24"/>
                <w:szCs w:val="24"/>
              </w:rPr>
              <w:t>E-Mail</w:t>
            </w:r>
          </w:p>
        </w:tc>
        <w:tc>
          <w:tcPr>
            <w:tcW w:w="5812" w:type="dxa"/>
          </w:tcPr>
          <w:p w14:paraId="29B7F8D5" w14:textId="77777777" w:rsidR="008472C0" w:rsidRPr="009B7685" w:rsidRDefault="00044427" w:rsidP="0069655B">
            <w:pPr>
              <w:tabs>
                <w:tab w:val="left" w:pos="1020"/>
              </w:tabs>
              <w:jc w:val="both"/>
              <w:rPr>
                <w:rFonts w:cstheme="minorHAnsi"/>
                <w:sz w:val="24"/>
                <w:szCs w:val="24"/>
              </w:rPr>
            </w:pPr>
            <w:hyperlink r:id="rId23" w:history="1">
              <w:r w:rsidR="008472C0" w:rsidRPr="009B7685">
                <w:rPr>
                  <w:rStyle w:val="Hyperlink"/>
                  <w:rFonts w:cstheme="minorHAnsi"/>
                  <w:sz w:val="24"/>
                  <w:szCs w:val="24"/>
                </w:rPr>
                <w:t>marco.parada@tjmt.jus.br</w:t>
              </w:r>
            </w:hyperlink>
          </w:p>
        </w:tc>
      </w:tr>
      <w:tr w:rsidR="008472C0" w:rsidRPr="009B7685" w14:paraId="0E735E9A" w14:textId="77777777" w:rsidTr="4F2C0FBD">
        <w:tc>
          <w:tcPr>
            <w:tcW w:w="2943" w:type="dxa"/>
          </w:tcPr>
          <w:p w14:paraId="35DC5BAC" w14:textId="77777777" w:rsidR="008472C0" w:rsidRPr="009B7685" w:rsidRDefault="4F2C0FBD" w:rsidP="4F2C0FBD">
            <w:pPr>
              <w:jc w:val="both"/>
              <w:rPr>
                <w:rFonts w:eastAsiaTheme="minorEastAsia"/>
                <w:sz w:val="24"/>
                <w:szCs w:val="24"/>
              </w:rPr>
            </w:pPr>
            <w:r w:rsidRPr="4F2C0FBD">
              <w:rPr>
                <w:rFonts w:eastAsiaTheme="minorEastAsia"/>
                <w:sz w:val="24"/>
                <w:szCs w:val="24"/>
              </w:rPr>
              <w:t>Área (Departamento/Setor)</w:t>
            </w:r>
          </w:p>
        </w:tc>
        <w:tc>
          <w:tcPr>
            <w:tcW w:w="5812" w:type="dxa"/>
          </w:tcPr>
          <w:p w14:paraId="61B5971F" w14:textId="77777777" w:rsidR="008472C0" w:rsidRPr="009B7685" w:rsidRDefault="4F2C0FBD" w:rsidP="4F2C0FBD">
            <w:pPr>
              <w:jc w:val="both"/>
              <w:rPr>
                <w:rFonts w:eastAsiaTheme="minorEastAsia"/>
                <w:sz w:val="24"/>
                <w:szCs w:val="24"/>
              </w:rPr>
            </w:pPr>
            <w:r w:rsidRPr="4F2C0FBD">
              <w:rPr>
                <w:rFonts w:eastAsiaTheme="minorEastAsia"/>
                <w:sz w:val="24"/>
                <w:szCs w:val="24"/>
              </w:rPr>
              <w:t>Departamento Administrativo</w:t>
            </w:r>
          </w:p>
        </w:tc>
      </w:tr>
      <w:tr w:rsidR="008472C0" w:rsidRPr="009B7685" w14:paraId="7E231A58" w14:textId="77777777" w:rsidTr="4F2C0FBD">
        <w:tc>
          <w:tcPr>
            <w:tcW w:w="2943" w:type="dxa"/>
          </w:tcPr>
          <w:p w14:paraId="7B00E15B" w14:textId="77777777" w:rsidR="008472C0" w:rsidRPr="009B7685" w:rsidRDefault="4F2C0FBD" w:rsidP="4F2C0FBD">
            <w:pPr>
              <w:jc w:val="both"/>
              <w:rPr>
                <w:rFonts w:eastAsiaTheme="minorEastAsia"/>
                <w:sz w:val="24"/>
                <w:szCs w:val="24"/>
              </w:rPr>
            </w:pPr>
            <w:r w:rsidRPr="4F2C0FBD">
              <w:rPr>
                <w:rFonts w:eastAsiaTheme="minorEastAsia"/>
                <w:sz w:val="24"/>
                <w:szCs w:val="24"/>
              </w:rPr>
              <w:t>Assinatura</w:t>
            </w:r>
          </w:p>
        </w:tc>
        <w:tc>
          <w:tcPr>
            <w:tcW w:w="5812" w:type="dxa"/>
          </w:tcPr>
          <w:p w14:paraId="6BD24EBA" w14:textId="77777777" w:rsidR="008472C0" w:rsidRPr="009B7685" w:rsidRDefault="008472C0" w:rsidP="0069655B">
            <w:pPr>
              <w:jc w:val="both"/>
              <w:rPr>
                <w:rFonts w:cstheme="minorHAnsi"/>
                <w:sz w:val="24"/>
                <w:szCs w:val="24"/>
              </w:rPr>
            </w:pPr>
          </w:p>
        </w:tc>
      </w:tr>
    </w:tbl>
    <w:p w14:paraId="23B6AE03" w14:textId="77777777" w:rsidR="008472C0" w:rsidRPr="009B7685" w:rsidRDefault="4F2C0FBD" w:rsidP="4F2C0FBD">
      <w:pPr>
        <w:pStyle w:val="Primeirorecuodecorpodetexto"/>
        <w:numPr>
          <w:ilvl w:val="0"/>
          <w:numId w:val="2"/>
        </w:numPr>
        <w:spacing w:before="240" w:after="0"/>
        <w:rPr>
          <w:rFonts w:eastAsiaTheme="minorEastAsia"/>
          <w:sz w:val="24"/>
          <w:szCs w:val="24"/>
        </w:rPr>
      </w:pPr>
      <w:r w:rsidRPr="4F2C0FBD">
        <w:rPr>
          <w:rFonts w:eastAsiaTheme="minorEastAsia"/>
          <w:sz w:val="24"/>
          <w:szCs w:val="24"/>
        </w:rPr>
        <w:t>Fiscal e Integrante Substituto Administrativo</w:t>
      </w:r>
    </w:p>
    <w:tbl>
      <w:tblPr>
        <w:tblStyle w:val="Tabelacomgrade"/>
        <w:tblW w:w="8755" w:type="dxa"/>
        <w:tblLook w:val="04A0" w:firstRow="1" w:lastRow="0" w:firstColumn="1" w:lastColumn="0" w:noHBand="0" w:noVBand="1"/>
      </w:tblPr>
      <w:tblGrid>
        <w:gridCol w:w="2943"/>
        <w:gridCol w:w="5812"/>
      </w:tblGrid>
      <w:tr w:rsidR="008472C0" w:rsidRPr="009B7685" w14:paraId="6914B063" w14:textId="77777777" w:rsidTr="4F2C0FBD">
        <w:tc>
          <w:tcPr>
            <w:tcW w:w="2943" w:type="dxa"/>
          </w:tcPr>
          <w:p w14:paraId="323E6F4C" w14:textId="77777777" w:rsidR="008472C0" w:rsidRPr="009B7685" w:rsidRDefault="4F2C0FBD" w:rsidP="4F2C0FBD">
            <w:pPr>
              <w:jc w:val="both"/>
              <w:rPr>
                <w:rFonts w:eastAsiaTheme="minorEastAsia"/>
                <w:sz w:val="24"/>
                <w:szCs w:val="24"/>
              </w:rPr>
            </w:pPr>
            <w:r w:rsidRPr="4F2C0FBD">
              <w:rPr>
                <w:rFonts w:eastAsiaTheme="minorEastAsia"/>
                <w:sz w:val="24"/>
                <w:szCs w:val="24"/>
              </w:rPr>
              <w:t>Nome</w:t>
            </w:r>
          </w:p>
        </w:tc>
        <w:tc>
          <w:tcPr>
            <w:tcW w:w="5812" w:type="dxa"/>
          </w:tcPr>
          <w:p w14:paraId="20409805" w14:textId="77777777" w:rsidR="008472C0" w:rsidRPr="009B7685" w:rsidRDefault="008472C0" w:rsidP="4F2C0FBD">
            <w:pPr>
              <w:jc w:val="both"/>
              <w:rPr>
                <w:rFonts w:eastAsiaTheme="minorEastAsia"/>
                <w:sz w:val="24"/>
                <w:szCs w:val="24"/>
              </w:rPr>
            </w:pPr>
            <w:r w:rsidRPr="4F2C0FBD">
              <w:rPr>
                <w:rFonts w:eastAsiaTheme="minorEastAsia"/>
                <w:shd w:val="clear" w:color="auto" w:fill="FFFFFF"/>
              </w:rPr>
              <w:t>Anderson Domingues Augusto</w:t>
            </w:r>
          </w:p>
        </w:tc>
      </w:tr>
      <w:tr w:rsidR="008472C0" w:rsidRPr="009B7685" w14:paraId="1C7D79DB" w14:textId="77777777" w:rsidTr="4F2C0FBD">
        <w:tc>
          <w:tcPr>
            <w:tcW w:w="2943" w:type="dxa"/>
          </w:tcPr>
          <w:p w14:paraId="59BFA51F" w14:textId="77777777" w:rsidR="008472C0" w:rsidRPr="009B7685" w:rsidRDefault="4F2C0FBD" w:rsidP="4F2C0FBD">
            <w:pPr>
              <w:jc w:val="both"/>
              <w:rPr>
                <w:rFonts w:eastAsiaTheme="minorEastAsia"/>
                <w:sz w:val="24"/>
                <w:szCs w:val="24"/>
              </w:rPr>
            </w:pPr>
            <w:r w:rsidRPr="4F2C0FBD">
              <w:rPr>
                <w:rFonts w:eastAsiaTheme="minorEastAsia"/>
                <w:sz w:val="24"/>
                <w:szCs w:val="24"/>
              </w:rPr>
              <w:t>Matrícula</w:t>
            </w:r>
          </w:p>
        </w:tc>
        <w:tc>
          <w:tcPr>
            <w:tcW w:w="5812" w:type="dxa"/>
          </w:tcPr>
          <w:p w14:paraId="282E8A54" w14:textId="77777777" w:rsidR="008472C0" w:rsidRPr="009B7685" w:rsidRDefault="008472C0" w:rsidP="4F2C0FBD">
            <w:pPr>
              <w:jc w:val="both"/>
              <w:rPr>
                <w:rFonts w:eastAsiaTheme="minorEastAsia"/>
                <w:sz w:val="24"/>
                <w:szCs w:val="24"/>
              </w:rPr>
            </w:pPr>
            <w:r w:rsidRPr="4F2C0FBD">
              <w:rPr>
                <w:rFonts w:eastAsiaTheme="minorEastAsia"/>
                <w:shd w:val="clear" w:color="auto" w:fill="FFFFFF"/>
              </w:rPr>
              <w:t>10082</w:t>
            </w:r>
          </w:p>
        </w:tc>
      </w:tr>
      <w:tr w:rsidR="008472C0" w:rsidRPr="009B7685" w14:paraId="2D7EBD13" w14:textId="77777777" w:rsidTr="4F2C0FBD">
        <w:tc>
          <w:tcPr>
            <w:tcW w:w="2943" w:type="dxa"/>
          </w:tcPr>
          <w:p w14:paraId="14B88906" w14:textId="77777777" w:rsidR="008472C0" w:rsidRPr="009B7685" w:rsidRDefault="4F2C0FBD" w:rsidP="4F2C0FBD">
            <w:pPr>
              <w:jc w:val="both"/>
              <w:rPr>
                <w:rFonts w:eastAsiaTheme="minorEastAsia"/>
                <w:sz w:val="24"/>
                <w:szCs w:val="24"/>
              </w:rPr>
            </w:pPr>
            <w:r w:rsidRPr="4F2C0FBD">
              <w:rPr>
                <w:rFonts w:eastAsiaTheme="minorEastAsia"/>
                <w:sz w:val="24"/>
                <w:szCs w:val="24"/>
              </w:rPr>
              <w:t>E-Mail</w:t>
            </w:r>
          </w:p>
        </w:tc>
        <w:tc>
          <w:tcPr>
            <w:tcW w:w="5812" w:type="dxa"/>
          </w:tcPr>
          <w:p w14:paraId="066D6314" w14:textId="77777777" w:rsidR="008472C0" w:rsidRPr="009B7685" w:rsidRDefault="00044427" w:rsidP="0069655B">
            <w:pPr>
              <w:jc w:val="both"/>
              <w:rPr>
                <w:rFonts w:cstheme="minorHAnsi"/>
                <w:sz w:val="24"/>
                <w:szCs w:val="24"/>
              </w:rPr>
            </w:pPr>
            <w:hyperlink r:id="rId24" w:history="1">
              <w:r w:rsidR="008472C0" w:rsidRPr="009B7685">
                <w:rPr>
                  <w:rStyle w:val="Hyperlink"/>
                  <w:rFonts w:cstheme="minorHAnsi"/>
                  <w:sz w:val="24"/>
                  <w:szCs w:val="24"/>
                </w:rPr>
                <w:t>anderson.augusto@tjmt.jus.br</w:t>
              </w:r>
            </w:hyperlink>
          </w:p>
        </w:tc>
      </w:tr>
      <w:tr w:rsidR="008472C0" w:rsidRPr="009B7685" w14:paraId="50C5D0B3" w14:textId="77777777" w:rsidTr="4F2C0FBD">
        <w:tc>
          <w:tcPr>
            <w:tcW w:w="2943" w:type="dxa"/>
          </w:tcPr>
          <w:p w14:paraId="72284E54" w14:textId="77777777" w:rsidR="008472C0" w:rsidRPr="009B7685" w:rsidRDefault="4F2C0FBD" w:rsidP="4F2C0FBD">
            <w:pPr>
              <w:jc w:val="both"/>
              <w:rPr>
                <w:rFonts w:eastAsiaTheme="minorEastAsia"/>
                <w:sz w:val="24"/>
                <w:szCs w:val="24"/>
              </w:rPr>
            </w:pPr>
            <w:r w:rsidRPr="4F2C0FBD">
              <w:rPr>
                <w:rFonts w:eastAsiaTheme="minorEastAsia"/>
                <w:sz w:val="24"/>
                <w:szCs w:val="24"/>
              </w:rPr>
              <w:t>Área (Departamento/Setor)</w:t>
            </w:r>
          </w:p>
        </w:tc>
        <w:tc>
          <w:tcPr>
            <w:tcW w:w="5812" w:type="dxa"/>
          </w:tcPr>
          <w:p w14:paraId="0F51D0D9" w14:textId="77777777" w:rsidR="008472C0" w:rsidRPr="009B7685" w:rsidRDefault="4F2C0FBD" w:rsidP="4F2C0FBD">
            <w:pPr>
              <w:jc w:val="both"/>
              <w:rPr>
                <w:rFonts w:eastAsiaTheme="minorEastAsia"/>
                <w:sz w:val="24"/>
                <w:szCs w:val="24"/>
              </w:rPr>
            </w:pPr>
            <w:r w:rsidRPr="4F2C0FBD">
              <w:rPr>
                <w:rFonts w:eastAsiaTheme="minorEastAsia"/>
                <w:sz w:val="24"/>
                <w:szCs w:val="24"/>
              </w:rPr>
              <w:t>Departamento Administrativo</w:t>
            </w:r>
          </w:p>
        </w:tc>
      </w:tr>
      <w:tr w:rsidR="008472C0" w:rsidRPr="009B7685" w14:paraId="2D07F3DB" w14:textId="77777777" w:rsidTr="4F2C0FBD">
        <w:tc>
          <w:tcPr>
            <w:tcW w:w="2943" w:type="dxa"/>
          </w:tcPr>
          <w:p w14:paraId="4FE441E3" w14:textId="77777777" w:rsidR="008472C0" w:rsidRPr="009B7685" w:rsidRDefault="4F2C0FBD" w:rsidP="4F2C0FBD">
            <w:pPr>
              <w:jc w:val="both"/>
              <w:rPr>
                <w:rFonts w:eastAsiaTheme="minorEastAsia"/>
                <w:sz w:val="24"/>
                <w:szCs w:val="24"/>
              </w:rPr>
            </w:pPr>
            <w:r w:rsidRPr="4F2C0FBD">
              <w:rPr>
                <w:rFonts w:eastAsiaTheme="minorEastAsia"/>
                <w:sz w:val="24"/>
                <w:szCs w:val="24"/>
              </w:rPr>
              <w:t>Assinatura</w:t>
            </w:r>
          </w:p>
        </w:tc>
        <w:tc>
          <w:tcPr>
            <w:tcW w:w="5812" w:type="dxa"/>
          </w:tcPr>
          <w:p w14:paraId="02C079A9" w14:textId="77777777" w:rsidR="008472C0" w:rsidRPr="009B7685" w:rsidRDefault="008472C0" w:rsidP="0069655B">
            <w:pPr>
              <w:jc w:val="both"/>
              <w:rPr>
                <w:rFonts w:cstheme="minorHAnsi"/>
                <w:sz w:val="24"/>
                <w:szCs w:val="24"/>
              </w:rPr>
            </w:pPr>
          </w:p>
        </w:tc>
      </w:tr>
    </w:tbl>
    <w:p w14:paraId="2522D987" w14:textId="77777777" w:rsidR="008472C0" w:rsidRPr="009B7685" w:rsidRDefault="008472C0" w:rsidP="4F2C0FBD">
      <w:pPr>
        <w:pStyle w:val="Ttulo1"/>
        <w:rPr>
          <w:rFonts w:asciiTheme="minorHAnsi" w:eastAsiaTheme="minorEastAsia" w:hAnsiTheme="minorHAnsi" w:cstheme="minorBidi"/>
        </w:rPr>
      </w:pPr>
      <w:bookmarkStart w:id="85" w:name="_Toc534884833"/>
      <w:r w:rsidRPr="4F2C0FBD">
        <w:rPr>
          <w:rFonts w:asciiTheme="minorHAnsi" w:eastAsiaTheme="minorEastAsia" w:hAnsiTheme="minorHAnsi" w:cstheme="minorBidi"/>
        </w:rPr>
        <w:t>ANÁLISE DE RISCOS</w:t>
      </w:r>
      <w:bookmarkEnd w:id="60"/>
      <w:bookmarkEnd w:id="85"/>
    </w:p>
    <w:p w14:paraId="44FFC6AA" w14:textId="77777777" w:rsidR="008472C0" w:rsidRDefault="4F2C0FBD" w:rsidP="4F2C0FBD">
      <w:pPr>
        <w:pStyle w:val="Primeirorecuodecorpodetexto"/>
        <w:spacing w:after="120"/>
        <w:ind w:firstLine="1134"/>
        <w:rPr>
          <w:rFonts w:eastAsiaTheme="minorEastAsia"/>
          <w:sz w:val="24"/>
          <w:szCs w:val="24"/>
        </w:rPr>
      </w:pPr>
      <w:r w:rsidRPr="4F2C0FBD">
        <w:rPr>
          <w:rFonts w:eastAsiaTheme="minorEastAsia"/>
          <w:sz w:val="24"/>
          <w:szCs w:val="24"/>
        </w:rPr>
        <w:t>Considerando especialmente a situação da atual solução, os seguintes riscos foram identificados:</w:t>
      </w:r>
    </w:p>
    <w:p w14:paraId="579110A7" w14:textId="77777777" w:rsidR="008472C0" w:rsidRPr="009B7685" w:rsidRDefault="008472C0" w:rsidP="008472C0">
      <w:pPr>
        <w:pStyle w:val="Primeirorecuodecorpodetexto"/>
        <w:spacing w:after="120"/>
        <w:ind w:firstLine="1134"/>
        <w:rPr>
          <w:rFonts w:eastAsiaTheme="minorEastAsia" w:cstheme="minorHAnsi"/>
          <w:sz w:val="24"/>
          <w:szCs w:val="24"/>
        </w:rPr>
      </w:pPr>
    </w:p>
    <w:tbl>
      <w:tblPr>
        <w:tblStyle w:val="Tabelacomgrade"/>
        <w:tblW w:w="8820" w:type="dxa"/>
        <w:jc w:val="center"/>
        <w:tblLook w:val="04A0" w:firstRow="1" w:lastRow="0" w:firstColumn="1" w:lastColumn="0" w:noHBand="0" w:noVBand="1"/>
      </w:tblPr>
      <w:tblGrid>
        <w:gridCol w:w="457"/>
        <w:gridCol w:w="1134"/>
        <w:gridCol w:w="5245"/>
        <w:gridCol w:w="567"/>
        <w:gridCol w:w="1417"/>
      </w:tblGrid>
      <w:tr w:rsidR="008472C0" w:rsidRPr="009B7685" w14:paraId="6D101DB6" w14:textId="77777777" w:rsidTr="4F2C0FBD">
        <w:trPr>
          <w:trHeight w:val="281"/>
          <w:jc w:val="center"/>
        </w:trPr>
        <w:tc>
          <w:tcPr>
            <w:tcW w:w="8820" w:type="dxa"/>
            <w:gridSpan w:val="5"/>
          </w:tcPr>
          <w:p w14:paraId="2375518F" w14:textId="77777777" w:rsidR="008472C0" w:rsidRPr="009B7685" w:rsidRDefault="4F2C0FBD" w:rsidP="4F2C0FBD">
            <w:pPr>
              <w:ind w:left="360"/>
              <w:jc w:val="center"/>
              <w:rPr>
                <w:rFonts w:eastAsiaTheme="minorEastAsia"/>
                <w:b/>
                <w:bCs/>
              </w:rPr>
            </w:pPr>
            <w:r w:rsidRPr="4F2C0FBD">
              <w:rPr>
                <w:rFonts w:eastAsiaTheme="minorEastAsia"/>
                <w:b/>
                <w:bCs/>
              </w:rPr>
              <w:t xml:space="preserve">REFERENTE À FASE </w:t>
            </w:r>
          </w:p>
          <w:p w14:paraId="66C6A0B5" w14:textId="77777777" w:rsidR="008472C0" w:rsidRPr="009B7685" w:rsidRDefault="4F2C0FBD" w:rsidP="4F2C0FBD">
            <w:pPr>
              <w:ind w:left="360"/>
              <w:rPr>
                <w:rFonts w:eastAsiaTheme="minorEastAsia"/>
              </w:rPr>
            </w:pPr>
            <w:r w:rsidRPr="4F2C0FBD">
              <w:rPr>
                <w:rFonts w:eastAsiaTheme="minorEastAsia"/>
                <w:b/>
                <w:bCs/>
              </w:rPr>
              <w:t>( x ) Planejamento de Contratação e Seleção do fornecedor  (   ) Execução contratual</w:t>
            </w:r>
          </w:p>
        </w:tc>
      </w:tr>
      <w:tr w:rsidR="008472C0" w:rsidRPr="009B7685" w14:paraId="36A3F6DB" w14:textId="77777777" w:rsidTr="4F2C0FBD">
        <w:trPr>
          <w:trHeight w:val="281"/>
          <w:jc w:val="center"/>
        </w:trPr>
        <w:tc>
          <w:tcPr>
            <w:tcW w:w="1591" w:type="dxa"/>
            <w:gridSpan w:val="2"/>
          </w:tcPr>
          <w:p w14:paraId="1E50C6C8" w14:textId="77777777" w:rsidR="008472C0" w:rsidRPr="009B7685" w:rsidRDefault="4F2C0FBD" w:rsidP="4F2C0FBD">
            <w:pPr>
              <w:jc w:val="both"/>
              <w:rPr>
                <w:rFonts w:eastAsiaTheme="minorEastAsia"/>
              </w:rPr>
            </w:pPr>
            <w:r w:rsidRPr="4F2C0FBD">
              <w:rPr>
                <w:rFonts w:eastAsiaTheme="minorEastAsia"/>
                <w:b/>
                <w:bCs/>
              </w:rPr>
              <w:t>Risco 01</w:t>
            </w:r>
          </w:p>
        </w:tc>
        <w:tc>
          <w:tcPr>
            <w:tcW w:w="5812" w:type="dxa"/>
            <w:gridSpan w:val="2"/>
          </w:tcPr>
          <w:p w14:paraId="1BE69D48" w14:textId="77777777" w:rsidR="008472C0" w:rsidRPr="009B7685" w:rsidRDefault="4F2C0FBD" w:rsidP="4F2C0FBD">
            <w:pPr>
              <w:pStyle w:val="PargrafodaLista"/>
              <w:ind w:left="0"/>
              <w:rPr>
                <w:rFonts w:eastAsiaTheme="minorEastAsia"/>
              </w:rPr>
            </w:pPr>
            <w:r w:rsidRPr="4F2C0FBD">
              <w:rPr>
                <w:rFonts w:eastAsiaTheme="minorEastAsia"/>
              </w:rPr>
              <w:t>Definição do objeto da contratação sem o devido aprofundamento técnico nos Estudos Preliminares</w:t>
            </w:r>
          </w:p>
        </w:tc>
        <w:tc>
          <w:tcPr>
            <w:tcW w:w="1417" w:type="dxa"/>
            <w:shd w:val="clear" w:color="auto" w:fill="FFC000"/>
          </w:tcPr>
          <w:p w14:paraId="792C9697" w14:textId="77777777" w:rsidR="008472C0" w:rsidRPr="009B7685" w:rsidRDefault="4F2C0FBD" w:rsidP="4F2C0FBD">
            <w:pPr>
              <w:pStyle w:val="PargrafodaLista"/>
              <w:ind w:left="0"/>
              <w:jc w:val="center"/>
              <w:rPr>
                <w:rFonts w:eastAsiaTheme="minorEastAsia"/>
              </w:rPr>
            </w:pPr>
            <w:r w:rsidRPr="4F2C0FBD">
              <w:rPr>
                <w:rFonts w:eastAsiaTheme="minorEastAsia"/>
              </w:rPr>
              <w:t>Grau do risco</w:t>
            </w:r>
          </w:p>
          <w:p w14:paraId="3E9A0AFA" w14:textId="77777777" w:rsidR="008472C0" w:rsidRPr="009B7685" w:rsidRDefault="4F2C0FBD" w:rsidP="4F2C0FBD">
            <w:pPr>
              <w:pStyle w:val="PargrafodaLista"/>
              <w:tabs>
                <w:tab w:val="center" w:pos="600"/>
              </w:tabs>
              <w:ind w:left="0"/>
              <w:jc w:val="center"/>
              <w:rPr>
                <w:rFonts w:eastAsiaTheme="minorEastAsia"/>
              </w:rPr>
            </w:pPr>
            <w:r w:rsidRPr="4F2C0FBD">
              <w:rPr>
                <w:rFonts w:eastAsiaTheme="minorEastAsia"/>
              </w:rPr>
              <w:t>(MÉDIO</w:t>
            </w:r>
            <w:r w:rsidRPr="4F2C0FBD">
              <w:rPr>
                <w:rFonts w:eastAsiaTheme="minorEastAsia"/>
                <w:color w:val="000000" w:themeColor="text1"/>
              </w:rPr>
              <w:t>)</w:t>
            </w:r>
          </w:p>
        </w:tc>
      </w:tr>
      <w:tr w:rsidR="008472C0" w:rsidRPr="009B7685" w14:paraId="22F18C42" w14:textId="77777777" w:rsidTr="4F2C0FBD">
        <w:trPr>
          <w:trHeight w:val="277"/>
          <w:jc w:val="center"/>
        </w:trPr>
        <w:tc>
          <w:tcPr>
            <w:tcW w:w="1591" w:type="dxa"/>
            <w:gridSpan w:val="2"/>
          </w:tcPr>
          <w:p w14:paraId="4B4207D3" w14:textId="77777777" w:rsidR="008472C0" w:rsidRPr="009B7685" w:rsidRDefault="4F2C0FBD" w:rsidP="4F2C0FBD">
            <w:pPr>
              <w:pStyle w:val="PargrafodaLista"/>
              <w:ind w:left="0"/>
              <w:rPr>
                <w:rFonts w:eastAsiaTheme="minorEastAsia"/>
              </w:rPr>
            </w:pPr>
            <w:r w:rsidRPr="4F2C0FBD">
              <w:rPr>
                <w:rFonts w:eastAsiaTheme="minorEastAsia"/>
              </w:rPr>
              <w:t>Probabilidade</w:t>
            </w:r>
          </w:p>
        </w:tc>
        <w:tc>
          <w:tcPr>
            <w:tcW w:w="7229" w:type="dxa"/>
            <w:gridSpan w:val="3"/>
          </w:tcPr>
          <w:p w14:paraId="3F330271" w14:textId="77777777" w:rsidR="008472C0" w:rsidRPr="009B7685" w:rsidRDefault="4F2C0FBD" w:rsidP="4F2C0FBD">
            <w:pPr>
              <w:pStyle w:val="PargrafodaLista"/>
              <w:ind w:left="0"/>
              <w:rPr>
                <w:rFonts w:eastAsiaTheme="minorEastAsia"/>
              </w:rPr>
            </w:pPr>
            <w:r w:rsidRPr="4F2C0FBD">
              <w:rPr>
                <w:rFonts w:eastAsiaTheme="minorEastAsia"/>
              </w:rPr>
              <w:t>(  x ) Baixa              (    ) média           (    ) alta</w:t>
            </w:r>
          </w:p>
        </w:tc>
      </w:tr>
      <w:tr w:rsidR="008472C0" w:rsidRPr="009B7685" w14:paraId="61561366" w14:textId="77777777" w:rsidTr="4F2C0FBD">
        <w:trPr>
          <w:trHeight w:val="277"/>
          <w:jc w:val="center"/>
        </w:trPr>
        <w:tc>
          <w:tcPr>
            <w:tcW w:w="1591" w:type="dxa"/>
            <w:gridSpan w:val="2"/>
          </w:tcPr>
          <w:p w14:paraId="279E8656" w14:textId="77777777" w:rsidR="008472C0" w:rsidRPr="009B7685" w:rsidRDefault="4F2C0FBD" w:rsidP="4F2C0FBD">
            <w:pPr>
              <w:pStyle w:val="PargrafodaLista"/>
              <w:ind w:left="0"/>
              <w:rPr>
                <w:rFonts w:eastAsiaTheme="minorEastAsia"/>
              </w:rPr>
            </w:pPr>
            <w:r w:rsidRPr="4F2C0FBD">
              <w:rPr>
                <w:rFonts w:eastAsiaTheme="minorEastAsia"/>
              </w:rPr>
              <w:t>Impacto</w:t>
            </w:r>
          </w:p>
        </w:tc>
        <w:tc>
          <w:tcPr>
            <w:tcW w:w="7229" w:type="dxa"/>
            <w:gridSpan w:val="3"/>
          </w:tcPr>
          <w:p w14:paraId="07945A3A" w14:textId="77777777" w:rsidR="008472C0" w:rsidRPr="009B7685" w:rsidRDefault="4F2C0FBD" w:rsidP="4F2C0FBD">
            <w:pPr>
              <w:pStyle w:val="PargrafodaLista"/>
              <w:ind w:left="0"/>
              <w:rPr>
                <w:rFonts w:eastAsiaTheme="minorEastAsia"/>
              </w:rPr>
            </w:pPr>
            <w:r w:rsidRPr="4F2C0FBD">
              <w:rPr>
                <w:rFonts w:eastAsiaTheme="minorEastAsia"/>
              </w:rPr>
              <w:t>(    ) Baixo              (    ) médio           ( x ) alto</w:t>
            </w:r>
          </w:p>
        </w:tc>
      </w:tr>
      <w:tr w:rsidR="008472C0" w:rsidRPr="009B7685" w14:paraId="1957E3D2" w14:textId="77777777" w:rsidTr="4F2C0FBD">
        <w:trPr>
          <w:trHeight w:val="277"/>
          <w:jc w:val="center"/>
        </w:trPr>
        <w:tc>
          <w:tcPr>
            <w:tcW w:w="457" w:type="dxa"/>
          </w:tcPr>
          <w:p w14:paraId="3E330FF7" w14:textId="77777777" w:rsidR="008472C0" w:rsidRPr="009B7685" w:rsidRDefault="4F2C0FBD" w:rsidP="4F2C0FBD">
            <w:pPr>
              <w:pStyle w:val="PargrafodaLista"/>
              <w:ind w:left="0"/>
              <w:rPr>
                <w:rFonts w:eastAsiaTheme="minorEastAsia"/>
                <w:b/>
                <w:bCs/>
              </w:rPr>
            </w:pPr>
            <w:r w:rsidRPr="4F2C0FBD">
              <w:rPr>
                <w:rFonts w:eastAsiaTheme="minorEastAsia"/>
                <w:b/>
                <w:bCs/>
              </w:rPr>
              <w:t>Id.</w:t>
            </w:r>
          </w:p>
        </w:tc>
        <w:tc>
          <w:tcPr>
            <w:tcW w:w="8363" w:type="dxa"/>
            <w:gridSpan w:val="4"/>
          </w:tcPr>
          <w:p w14:paraId="47F83D63" w14:textId="77777777" w:rsidR="008472C0" w:rsidRPr="009B7685" w:rsidRDefault="4F2C0FBD" w:rsidP="4F2C0FBD">
            <w:pPr>
              <w:pStyle w:val="PargrafodaLista"/>
              <w:ind w:left="0"/>
              <w:rPr>
                <w:rFonts w:eastAsiaTheme="minorEastAsia"/>
                <w:b/>
                <w:bCs/>
              </w:rPr>
            </w:pPr>
            <w:r w:rsidRPr="4F2C0FBD">
              <w:rPr>
                <w:rFonts w:eastAsiaTheme="minorEastAsia"/>
                <w:b/>
                <w:bCs/>
              </w:rPr>
              <w:t>Dano</w:t>
            </w:r>
          </w:p>
        </w:tc>
      </w:tr>
      <w:tr w:rsidR="008472C0" w:rsidRPr="009B7685" w14:paraId="34E1756E" w14:textId="77777777" w:rsidTr="4F2C0FBD">
        <w:trPr>
          <w:trHeight w:val="277"/>
          <w:jc w:val="center"/>
        </w:trPr>
        <w:tc>
          <w:tcPr>
            <w:tcW w:w="457" w:type="dxa"/>
          </w:tcPr>
          <w:p w14:paraId="5BCBB57F"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8363" w:type="dxa"/>
            <w:gridSpan w:val="4"/>
          </w:tcPr>
          <w:p w14:paraId="30FEAA8B" w14:textId="77777777" w:rsidR="008472C0" w:rsidRPr="009B7685" w:rsidRDefault="4F2C0FBD" w:rsidP="4F2C0FBD">
            <w:pPr>
              <w:pStyle w:val="PargrafodaLista"/>
              <w:ind w:left="0"/>
              <w:rPr>
                <w:rFonts w:eastAsiaTheme="minorEastAsia"/>
              </w:rPr>
            </w:pPr>
            <w:r w:rsidRPr="4F2C0FBD">
              <w:rPr>
                <w:rFonts w:eastAsiaTheme="minorEastAsia"/>
              </w:rPr>
              <w:t>Contratação de solução aquém das necessidades do PJMT;</w:t>
            </w:r>
          </w:p>
        </w:tc>
      </w:tr>
      <w:tr w:rsidR="008472C0" w:rsidRPr="009B7685" w14:paraId="7D7EEB11" w14:textId="77777777" w:rsidTr="4F2C0FBD">
        <w:trPr>
          <w:trHeight w:val="277"/>
          <w:jc w:val="center"/>
        </w:trPr>
        <w:tc>
          <w:tcPr>
            <w:tcW w:w="457" w:type="dxa"/>
          </w:tcPr>
          <w:p w14:paraId="4862DC1F"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8363" w:type="dxa"/>
            <w:gridSpan w:val="4"/>
          </w:tcPr>
          <w:p w14:paraId="13A35EF7" w14:textId="77777777" w:rsidR="008472C0" w:rsidRPr="009B7685" w:rsidRDefault="4F2C0FBD" w:rsidP="4F2C0FBD">
            <w:pPr>
              <w:pStyle w:val="PargrafodaLista"/>
              <w:tabs>
                <w:tab w:val="left" w:pos="4603"/>
              </w:tabs>
              <w:ind w:left="0"/>
              <w:rPr>
                <w:rFonts w:eastAsiaTheme="minorEastAsia"/>
              </w:rPr>
            </w:pPr>
            <w:r w:rsidRPr="4F2C0FBD">
              <w:rPr>
                <w:rFonts w:eastAsiaTheme="minorEastAsia"/>
              </w:rPr>
              <w:t>Possível impugnação do processo licitatório;</w:t>
            </w:r>
          </w:p>
        </w:tc>
      </w:tr>
      <w:tr w:rsidR="008472C0" w:rsidRPr="009B7685" w14:paraId="11894720" w14:textId="77777777" w:rsidTr="4F2C0FBD">
        <w:trPr>
          <w:trHeight w:val="277"/>
          <w:jc w:val="center"/>
        </w:trPr>
        <w:tc>
          <w:tcPr>
            <w:tcW w:w="457" w:type="dxa"/>
          </w:tcPr>
          <w:p w14:paraId="090CD401" w14:textId="77777777" w:rsidR="008472C0" w:rsidRPr="009B7685" w:rsidRDefault="008472C0" w:rsidP="0069655B">
            <w:pPr>
              <w:pStyle w:val="PargrafodaLista"/>
              <w:ind w:left="0"/>
              <w:rPr>
                <w:rFonts w:cstheme="minorHAnsi"/>
              </w:rPr>
            </w:pPr>
          </w:p>
        </w:tc>
        <w:tc>
          <w:tcPr>
            <w:tcW w:w="6379" w:type="dxa"/>
            <w:gridSpan w:val="2"/>
          </w:tcPr>
          <w:p w14:paraId="4C2DE256" w14:textId="77777777" w:rsidR="008472C0" w:rsidRPr="009B7685" w:rsidRDefault="4F2C0FBD" w:rsidP="4F2C0FBD">
            <w:pPr>
              <w:pStyle w:val="PargrafodaLista"/>
              <w:ind w:left="0"/>
              <w:rPr>
                <w:rFonts w:eastAsiaTheme="minorEastAsia"/>
                <w:b/>
                <w:bCs/>
              </w:rPr>
            </w:pPr>
            <w:r w:rsidRPr="4F2C0FBD">
              <w:rPr>
                <w:rFonts w:eastAsiaTheme="minorEastAsia"/>
                <w:b/>
                <w:bCs/>
              </w:rPr>
              <w:t>Ação Preventiva</w:t>
            </w:r>
          </w:p>
        </w:tc>
        <w:tc>
          <w:tcPr>
            <w:tcW w:w="1984" w:type="dxa"/>
            <w:gridSpan w:val="2"/>
          </w:tcPr>
          <w:p w14:paraId="1750CB05"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4E1C6B82" w14:textId="77777777" w:rsidTr="4F2C0FBD">
        <w:trPr>
          <w:trHeight w:val="277"/>
          <w:jc w:val="center"/>
        </w:trPr>
        <w:tc>
          <w:tcPr>
            <w:tcW w:w="457" w:type="dxa"/>
          </w:tcPr>
          <w:p w14:paraId="5A7A54F7"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79" w:type="dxa"/>
            <w:gridSpan w:val="2"/>
          </w:tcPr>
          <w:p w14:paraId="221A665E" w14:textId="77777777" w:rsidR="008472C0" w:rsidRPr="009B7685" w:rsidRDefault="4F2C0FBD" w:rsidP="4F2C0FBD">
            <w:pPr>
              <w:pStyle w:val="PargrafodaLista"/>
              <w:ind w:left="0"/>
              <w:rPr>
                <w:rFonts w:eastAsiaTheme="minorEastAsia"/>
              </w:rPr>
            </w:pPr>
            <w:r w:rsidRPr="4F2C0FBD">
              <w:rPr>
                <w:rFonts w:eastAsiaTheme="minorEastAsia"/>
              </w:rPr>
              <w:t>Fazer análise de todas as possíveis soluções técnicas com possibilidade de atender a demanda do PJMT.</w:t>
            </w:r>
          </w:p>
        </w:tc>
        <w:tc>
          <w:tcPr>
            <w:tcW w:w="1984" w:type="dxa"/>
            <w:gridSpan w:val="2"/>
          </w:tcPr>
          <w:p w14:paraId="69D5E76F" w14:textId="77777777" w:rsidR="008472C0" w:rsidRPr="009B7685" w:rsidRDefault="4F2C0FBD" w:rsidP="4F2C0FBD">
            <w:pPr>
              <w:pStyle w:val="PargrafodaLista"/>
              <w:ind w:left="0"/>
              <w:jc w:val="left"/>
              <w:rPr>
                <w:rFonts w:eastAsiaTheme="minorEastAsia"/>
              </w:rPr>
            </w:pPr>
            <w:r w:rsidRPr="4F2C0FBD">
              <w:rPr>
                <w:rFonts w:eastAsiaTheme="minorEastAsia"/>
              </w:rPr>
              <w:t>Equipe de Planejamento.</w:t>
            </w:r>
          </w:p>
        </w:tc>
      </w:tr>
      <w:tr w:rsidR="008472C0" w:rsidRPr="009B7685" w14:paraId="3DB73964" w14:textId="77777777" w:rsidTr="4F2C0FBD">
        <w:trPr>
          <w:trHeight w:val="277"/>
          <w:jc w:val="center"/>
        </w:trPr>
        <w:tc>
          <w:tcPr>
            <w:tcW w:w="457" w:type="dxa"/>
          </w:tcPr>
          <w:p w14:paraId="3355406E"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6379" w:type="dxa"/>
            <w:gridSpan w:val="2"/>
          </w:tcPr>
          <w:p w14:paraId="68958C82" w14:textId="77777777" w:rsidR="008472C0" w:rsidRPr="009B7685" w:rsidRDefault="4F2C0FBD" w:rsidP="4F2C0FBD">
            <w:pPr>
              <w:pStyle w:val="PargrafodaLista"/>
              <w:ind w:left="0"/>
              <w:rPr>
                <w:rFonts w:eastAsiaTheme="minorEastAsia"/>
              </w:rPr>
            </w:pPr>
            <w:r w:rsidRPr="4F2C0FBD">
              <w:rPr>
                <w:rFonts w:eastAsiaTheme="minorEastAsia"/>
              </w:rPr>
              <w:t>Fazer estudo com base em contratações públicas similares e os requisitos de negócio do PJMT.</w:t>
            </w:r>
          </w:p>
        </w:tc>
        <w:tc>
          <w:tcPr>
            <w:tcW w:w="1984" w:type="dxa"/>
            <w:gridSpan w:val="2"/>
          </w:tcPr>
          <w:p w14:paraId="4C3C3B2E" w14:textId="77777777" w:rsidR="008472C0" w:rsidRPr="009B7685" w:rsidRDefault="4F2C0FBD" w:rsidP="4F2C0FBD">
            <w:pPr>
              <w:pStyle w:val="PargrafodaLista"/>
              <w:ind w:left="0"/>
              <w:jc w:val="left"/>
              <w:rPr>
                <w:rFonts w:eastAsiaTheme="minorEastAsia"/>
              </w:rPr>
            </w:pPr>
            <w:r w:rsidRPr="4F2C0FBD">
              <w:rPr>
                <w:rFonts w:eastAsiaTheme="minorEastAsia"/>
              </w:rPr>
              <w:t>Equipe de Planejamento.</w:t>
            </w:r>
          </w:p>
        </w:tc>
      </w:tr>
      <w:tr w:rsidR="008472C0" w:rsidRPr="009B7685" w14:paraId="7D99261C" w14:textId="77777777" w:rsidTr="4F2C0FBD">
        <w:trPr>
          <w:trHeight w:val="277"/>
          <w:jc w:val="center"/>
        </w:trPr>
        <w:tc>
          <w:tcPr>
            <w:tcW w:w="457" w:type="dxa"/>
          </w:tcPr>
          <w:p w14:paraId="39217776" w14:textId="77777777" w:rsidR="008472C0" w:rsidRPr="009B7685" w:rsidRDefault="4F2C0FBD" w:rsidP="4F2C0FBD">
            <w:pPr>
              <w:pStyle w:val="PargrafodaLista"/>
              <w:ind w:left="0"/>
              <w:rPr>
                <w:rFonts w:eastAsiaTheme="minorEastAsia"/>
              </w:rPr>
            </w:pPr>
            <w:r w:rsidRPr="4F2C0FBD">
              <w:rPr>
                <w:rFonts w:eastAsiaTheme="minorEastAsia"/>
              </w:rPr>
              <w:t>3</w:t>
            </w:r>
          </w:p>
        </w:tc>
        <w:tc>
          <w:tcPr>
            <w:tcW w:w="6379" w:type="dxa"/>
            <w:gridSpan w:val="2"/>
          </w:tcPr>
          <w:p w14:paraId="53F0C44E" w14:textId="77777777" w:rsidR="008472C0" w:rsidRPr="009B7685" w:rsidRDefault="4F2C0FBD" w:rsidP="4F2C0FBD">
            <w:pPr>
              <w:pStyle w:val="PargrafodaLista"/>
              <w:ind w:left="0"/>
              <w:rPr>
                <w:rFonts w:eastAsiaTheme="minorEastAsia"/>
              </w:rPr>
            </w:pPr>
            <w:r w:rsidRPr="4F2C0FBD">
              <w:rPr>
                <w:rFonts w:eastAsiaTheme="minorEastAsia"/>
              </w:rPr>
              <w:t>Definir objeto da contratação com o máximo de informação disponível.</w:t>
            </w:r>
          </w:p>
        </w:tc>
        <w:tc>
          <w:tcPr>
            <w:tcW w:w="1984" w:type="dxa"/>
            <w:gridSpan w:val="2"/>
          </w:tcPr>
          <w:p w14:paraId="56A7C764" w14:textId="77777777" w:rsidR="008472C0" w:rsidRPr="009B7685" w:rsidRDefault="4F2C0FBD" w:rsidP="4F2C0FBD">
            <w:pPr>
              <w:pStyle w:val="PargrafodaLista"/>
              <w:ind w:left="0"/>
              <w:jc w:val="left"/>
              <w:rPr>
                <w:rFonts w:eastAsiaTheme="minorEastAsia"/>
              </w:rPr>
            </w:pPr>
            <w:r w:rsidRPr="4F2C0FBD">
              <w:rPr>
                <w:rFonts w:eastAsiaTheme="minorEastAsia"/>
              </w:rPr>
              <w:t>Equipe de Planejamento.</w:t>
            </w:r>
          </w:p>
        </w:tc>
      </w:tr>
      <w:tr w:rsidR="008472C0" w:rsidRPr="009B7685" w14:paraId="3F0B1607" w14:textId="77777777" w:rsidTr="4F2C0FBD">
        <w:trPr>
          <w:trHeight w:val="277"/>
          <w:jc w:val="center"/>
        </w:trPr>
        <w:tc>
          <w:tcPr>
            <w:tcW w:w="457" w:type="dxa"/>
          </w:tcPr>
          <w:p w14:paraId="7757F7C1" w14:textId="77777777" w:rsidR="008472C0" w:rsidRPr="009B7685" w:rsidRDefault="4F2C0FBD" w:rsidP="4F2C0FBD">
            <w:pPr>
              <w:pStyle w:val="PargrafodaLista"/>
              <w:ind w:left="0"/>
              <w:rPr>
                <w:rFonts w:eastAsiaTheme="minorEastAsia"/>
              </w:rPr>
            </w:pPr>
            <w:r w:rsidRPr="4F2C0FBD">
              <w:rPr>
                <w:rFonts w:eastAsiaTheme="minorEastAsia"/>
              </w:rPr>
              <w:t>4</w:t>
            </w:r>
          </w:p>
        </w:tc>
        <w:tc>
          <w:tcPr>
            <w:tcW w:w="6379" w:type="dxa"/>
            <w:gridSpan w:val="2"/>
          </w:tcPr>
          <w:p w14:paraId="04C8A36C" w14:textId="77777777" w:rsidR="008472C0" w:rsidRPr="009B7685" w:rsidRDefault="4F2C0FBD" w:rsidP="4F2C0FBD">
            <w:pPr>
              <w:pStyle w:val="PargrafodaLista"/>
              <w:ind w:left="0"/>
              <w:rPr>
                <w:rFonts w:eastAsiaTheme="minorEastAsia"/>
              </w:rPr>
            </w:pPr>
            <w:r w:rsidRPr="4F2C0FBD">
              <w:rPr>
                <w:rFonts w:eastAsiaTheme="minorEastAsia"/>
              </w:rPr>
              <w:t>Embasar o estudo técnico da definição do objeto com base em manuais e consultoria de empresa especializada (Gartner).</w:t>
            </w:r>
          </w:p>
        </w:tc>
        <w:tc>
          <w:tcPr>
            <w:tcW w:w="1984" w:type="dxa"/>
            <w:gridSpan w:val="2"/>
          </w:tcPr>
          <w:p w14:paraId="203226E6" w14:textId="77777777" w:rsidR="008472C0" w:rsidRPr="009B7685" w:rsidRDefault="4F2C0FBD" w:rsidP="4F2C0FBD">
            <w:pPr>
              <w:pStyle w:val="PargrafodaLista"/>
              <w:ind w:left="0"/>
              <w:jc w:val="left"/>
              <w:rPr>
                <w:rFonts w:eastAsiaTheme="minorEastAsia"/>
              </w:rPr>
            </w:pPr>
            <w:r w:rsidRPr="4F2C0FBD">
              <w:rPr>
                <w:rFonts w:eastAsiaTheme="minorEastAsia"/>
              </w:rPr>
              <w:t>Equipe de Planejamento.</w:t>
            </w:r>
          </w:p>
        </w:tc>
      </w:tr>
      <w:tr w:rsidR="008472C0" w:rsidRPr="009B7685" w14:paraId="6CA16A07" w14:textId="77777777" w:rsidTr="4F2C0FBD">
        <w:trPr>
          <w:trHeight w:val="277"/>
          <w:jc w:val="center"/>
        </w:trPr>
        <w:tc>
          <w:tcPr>
            <w:tcW w:w="457" w:type="dxa"/>
          </w:tcPr>
          <w:p w14:paraId="2758E788" w14:textId="77777777" w:rsidR="008472C0" w:rsidRPr="009B7685" w:rsidRDefault="008472C0" w:rsidP="0069655B">
            <w:pPr>
              <w:pStyle w:val="PargrafodaLista"/>
              <w:ind w:left="0"/>
              <w:rPr>
                <w:rFonts w:cstheme="minorHAnsi"/>
              </w:rPr>
            </w:pPr>
          </w:p>
        </w:tc>
        <w:tc>
          <w:tcPr>
            <w:tcW w:w="6379" w:type="dxa"/>
            <w:gridSpan w:val="2"/>
          </w:tcPr>
          <w:p w14:paraId="18B70FD8" w14:textId="77777777" w:rsidR="008472C0" w:rsidRPr="009B7685" w:rsidRDefault="4F2C0FBD" w:rsidP="4F2C0FBD">
            <w:pPr>
              <w:pStyle w:val="PargrafodaLista"/>
              <w:ind w:left="0"/>
              <w:rPr>
                <w:rFonts w:eastAsiaTheme="minorEastAsia"/>
                <w:b/>
                <w:bCs/>
              </w:rPr>
            </w:pPr>
            <w:r w:rsidRPr="4F2C0FBD">
              <w:rPr>
                <w:rFonts w:eastAsiaTheme="minorEastAsia"/>
                <w:b/>
                <w:bCs/>
              </w:rPr>
              <w:t>Ação de Contingência</w:t>
            </w:r>
          </w:p>
        </w:tc>
        <w:tc>
          <w:tcPr>
            <w:tcW w:w="1984" w:type="dxa"/>
            <w:gridSpan w:val="2"/>
          </w:tcPr>
          <w:p w14:paraId="41E7973A"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248DF01C" w14:textId="77777777" w:rsidTr="4F2C0FBD">
        <w:trPr>
          <w:trHeight w:val="277"/>
          <w:jc w:val="center"/>
        </w:trPr>
        <w:tc>
          <w:tcPr>
            <w:tcW w:w="457" w:type="dxa"/>
          </w:tcPr>
          <w:p w14:paraId="076D8635"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79" w:type="dxa"/>
            <w:gridSpan w:val="2"/>
          </w:tcPr>
          <w:p w14:paraId="0FC255E1" w14:textId="77777777" w:rsidR="008472C0" w:rsidRPr="009B7685" w:rsidRDefault="4F2C0FBD" w:rsidP="4F2C0FBD">
            <w:pPr>
              <w:pStyle w:val="PargrafodaLista"/>
              <w:ind w:left="0"/>
              <w:rPr>
                <w:rFonts w:eastAsiaTheme="minorEastAsia"/>
              </w:rPr>
            </w:pPr>
            <w:r w:rsidRPr="4F2C0FBD">
              <w:rPr>
                <w:rFonts w:eastAsiaTheme="minorEastAsia"/>
              </w:rPr>
              <w:t>Rever análise técnica do objeto da contratação, considerando apontamentos de impugnações.</w:t>
            </w:r>
          </w:p>
        </w:tc>
        <w:tc>
          <w:tcPr>
            <w:tcW w:w="1984" w:type="dxa"/>
            <w:gridSpan w:val="2"/>
          </w:tcPr>
          <w:p w14:paraId="2D655C2D" w14:textId="77777777" w:rsidR="008472C0" w:rsidRPr="009B7685" w:rsidRDefault="4F2C0FBD" w:rsidP="4F2C0FBD">
            <w:pPr>
              <w:pStyle w:val="PargrafodaLista"/>
              <w:ind w:left="0"/>
              <w:rPr>
                <w:rFonts w:eastAsiaTheme="minorEastAsia"/>
              </w:rPr>
            </w:pPr>
            <w:r w:rsidRPr="4F2C0FBD">
              <w:rPr>
                <w:rFonts w:eastAsiaTheme="minorEastAsia"/>
              </w:rPr>
              <w:t xml:space="preserve">Integrante Demandante </w:t>
            </w:r>
          </w:p>
        </w:tc>
      </w:tr>
      <w:tr w:rsidR="008472C0" w:rsidRPr="009B7685" w14:paraId="764E7158" w14:textId="77777777" w:rsidTr="4F2C0FBD">
        <w:trPr>
          <w:trHeight w:val="277"/>
          <w:jc w:val="center"/>
        </w:trPr>
        <w:tc>
          <w:tcPr>
            <w:tcW w:w="457" w:type="dxa"/>
          </w:tcPr>
          <w:p w14:paraId="466E0ADC" w14:textId="04B74B17" w:rsidR="008472C0" w:rsidRPr="009B7685" w:rsidRDefault="4F2C0FBD" w:rsidP="4F2C0FBD">
            <w:pPr>
              <w:pStyle w:val="PargrafodaLista"/>
              <w:ind w:left="0"/>
              <w:rPr>
                <w:rFonts w:eastAsiaTheme="minorEastAsia"/>
              </w:rPr>
            </w:pPr>
            <w:r w:rsidRPr="4F2C0FBD">
              <w:rPr>
                <w:rFonts w:eastAsiaTheme="minorEastAsia"/>
              </w:rPr>
              <w:t>2</w:t>
            </w:r>
          </w:p>
        </w:tc>
        <w:tc>
          <w:tcPr>
            <w:tcW w:w="6379" w:type="dxa"/>
            <w:gridSpan w:val="2"/>
          </w:tcPr>
          <w:p w14:paraId="06A36262" w14:textId="06C85ED7" w:rsidR="008472C0" w:rsidRPr="009B7685" w:rsidRDefault="4F2C0FBD" w:rsidP="4F2C0FBD">
            <w:pPr>
              <w:pStyle w:val="PargrafodaLista"/>
              <w:ind w:left="0"/>
              <w:rPr>
                <w:rFonts w:eastAsiaTheme="minorEastAsia"/>
              </w:rPr>
            </w:pPr>
            <w:r w:rsidRPr="4F2C0FBD">
              <w:rPr>
                <w:rFonts w:eastAsiaTheme="minorEastAsia"/>
              </w:rPr>
              <w:t>Em caso de solução insuficiente, iniciar processo de nova contratação.</w:t>
            </w:r>
          </w:p>
        </w:tc>
        <w:tc>
          <w:tcPr>
            <w:tcW w:w="1984" w:type="dxa"/>
            <w:gridSpan w:val="2"/>
          </w:tcPr>
          <w:p w14:paraId="4501EF84" w14:textId="4FEB1B65" w:rsidR="008472C0" w:rsidRPr="009B7685" w:rsidRDefault="4F2C0FBD" w:rsidP="4F2C0FBD">
            <w:pPr>
              <w:pStyle w:val="PargrafodaLista"/>
              <w:ind w:left="0"/>
              <w:rPr>
                <w:rFonts w:eastAsiaTheme="minorEastAsia"/>
              </w:rPr>
            </w:pPr>
            <w:r w:rsidRPr="4F2C0FBD">
              <w:rPr>
                <w:rFonts w:eastAsiaTheme="minorEastAsia"/>
              </w:rPr>
              <w:t xml:space="preserve">Integrante Demandante </w:t>
            </w:r>
          </w:p>
        </w:tc>
      </w:tr>
      <w:tr w:rsidR="008472C0" w:rsidRPr="009B7685" w14:paraId="36B1F514" w14:textId="77777777" w:rsidTr="4F2C0FBD">
        <w:trPr>
          <w:trHeight w:val="277"/>
          <w:jc w:val="center"/>
        </w:trPr>
        <w:tc>
          <w:tcPr>
            <w:tcW w:w="457" w:type="dxa"/>
          </w:tcPr>
          <w:p w14:paraId="1D58A29B" w14:textId="0986E1DD" w:rsidR="008472C0" w:rsidRPr="009B7685" w:rsidRDefault="4F2C0FBD" w:rsidP="4F2C0FBD">
            <w:pPr>
              <w:pStyle w:val="PargrafodaLista"/>
              <w:ind w:left="0"/>
              <w:rPr>
                <w:rFonts w:eastAsiaTheme="minorEastAsia"/>
              </w:rPr>
            </w:pPr>
            <w:r w:rsidRPr="4F2C0FBD">
              <w:rPr>
                <w:rFonts w:eastAsiaTheme="minorEastAsia"/>
              </w:rPr>
              <w:t>3</w:t>
            </w:r>
          </w:p>
        </w:tc>
        <w:tc>
          <w:tcPr>
            <w:tcW w:w="6379" w:type="dxa"/>
            <w:gridSpan w:val="2"/>
          </w:tcPr>
          <w:p w14:paraId="6C62E2FB" w14:textId="16938B8B" w:rsidR="008472C0" w:rsidRPr="009B7685" w:rsidRDefault="4F2C0FBD" w:rsidP="4F2C0FBD">
            <w:pPr>
              <w:pStyle w:val="PargrafodaLista"/>
              <w:ind w:left="0"/>
              <w:rPr>
                <w:rFonts w:eastAsiaTheme="minorEastAsia"/>
              </w:rPr>
            </w:pPr>
            <w:r w:rsidRPr="4F2C0FBD">
              <w:rPr>
                <w:rFonts w:eastAsiaTheme="minorEastAsia"/>
              </w:rPr>
              <w:t xml:space="preserve">Medidas administrativas cabíveis quanto à contratação já efetivada. </w:t>
            </w:r>
          </w:p>
        </w:tc>
        <w:tc>
          <w:tcPr>
            <w:tcW w:w="1984" w:type="dxa"/>
            <w:gridSpan w:val="2"/>
          </w:tcPr>
          <w:p w14:paraId="28AAACBF" w14:textId="355D0613" w:rsidR="008472C0" w:rsidRPr="009B7685" w:rsidRDefault="4F2C0FBD" w:rsidP="4F2C0FBD">
            <w:pPr>
              <w:pStyle w:val="PargrafodaLista"/>
              <w:ind w:left="0"/>
              <w:rPr>
                <w:rFonts w:eastAsiaTheme="minorEastAsia"/>
              </w:rPr>
            </w:pPr>
            <w:r w:rsidRPr="4F2C0FBD">
              <w:rPr>
                <w:rFonts w:eastAsiaTheme="minorEastAsia"/>
              </w:rPr>
              <w:t>Integrante Demandante / Administrativo</w:t>
            </w:r>
          </w:p>
        </w:tc>
      </w:tr>
    </w:tbl>
    <w:p w14:paraId="7BC90E7C" w14:textId="77777777" w:rsidR="008472C0" w:rsidRPr="009B7685" w:rsidRDefault="008472C0" w:rsidP="008472C0">
      <w:pPr>
        <w:pStyle w:val="Primeirorecuodecorpodetexto"/>
        <w:spacing w:after="120"/>
        <w:ind w:firstLine="1134"/>
        <w:rPr>
          <w:rFonts w:cstheme="minorHAnsi"/>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472C0" w:rsidRPr="009B7685" w14:paraId="62AA981A" w14:textId="77777777" w:rsidTr="4F2C0FBD">
        <w:trPr>
          <w:trHeight w:val="281"/>
          <w:jc w:val="center"/>
        </w:trPr>
        <w:tc>
          <w:tcPr>
            <w:tcW w:w="8820" w:type="dxa"/>
            <w:gridSpan w:val="5"/>
          </w:tcPr>
          <w:p w14:paraId="6B3D9AB0" w14:textId="77777777" w:rsidR="008472C0" w:rsidRPr="009B7685" w:rsidRDefault="4F2C0FBD" w:rsidP="4F2C0FBD">
            <w:pPr>
              <w:ind w:left="360"/>
              <w:jc w:val="center"/>
              <w:rPr>
                <w:rFonts w:eastAsiaTheme="minorEastAsia"/>
                <w:b/>
                <w:bCs/>
              </w:rPr>
            </w:pPr>
            <w:r w:rsidRPr="4F2C0FBD">
              <w:rPr>
                <w:rFonts w:eastAsiaTheme="minorEastAsia"/>
                <w:b/>
                <w:bCs/>
              </w:rPr>
              <w:t xml:space="preserve">REFERENTE À FASE </w:t>
            </w:r>
          </w:p>
          <w:p w14:paraId="356444A7" w14:textId="77777777" w:rsidR="008472C0" w:rsidRPr="009B7685" w:rsidRDefault="4F2C0FBD" w:rsidP="4F2C0FBD">
            <w:pPr>
              <w:ind w:left="360"/>
              <w:rPr>
                <w:rFonts w:eastAsiaTheme="minorEastAsia"/>
              </w:rPr>
            </w:pPr>
            <w:r w:rsidRPr="4F2C0FBD">
              <w:rPr>
                <w:rFonts w:eastAsiaTheme="minorEastAsia"/>
                <w:b/>
                <w:bCs/>
              </w:rPr>
              <w:t>( x) Planejamento de Contratação e Seleção do Fornecedor  (  ) Gestão do Contrato</w:t>
            </w:r>
          </w:p>
        </w:tc>
      </w:tr>
      <w:tr w:rsidR="008472C0" w:rsidRPr="009B7685" w14:paraId="7FDF74DD" w14:textId="77777777" w:rsidTr="4F2C0FBD">
        <w:trPr>
          <w:trHeight w:val="281"/>
          <w:jc w:val="center"/>
        </w:trPr>
        <w:tc>
          <w:tcPr>
            <w:tcW w:w="1624" w:type="dxa"/>
            <w:gridSpan w:val="2"/>
          </w:tcPr>
          <w:p w14:paraId="459A0AB1" w14:textId="77777777" w:rsidR="008472C0" w:rsidRPr="009B7685" w:rsidRDefault="4F2C0FBD" w:rsidP="4F2C0FBD">
            <w:pPr>
              <w:jc w:val="both"/>
              <w:rPr>
                <w:rFonts w:eastAsiaTheme="minorEastAsia"/>
              </w:rPr>
            </w:pPr>
            <w:r w:rsidRPr="4F2C0FBD">
              <w:rPr>
                <w:rFonts w:eastAsiaTheme="minorEastAsia"/>
                <w:b/>
                <w:bCs/>
              </w:rPr>
              <w:t>Risco 02</w:t>
            </w:r>
          </w:p>
        </w:tc>
        <w:tc>
          <w:tcPr>
            <w:tcW w:w="5780" w:type="dxa"/>
            <w:gridSpan w:val="2"/>
          </w:tcPr>
          <w:p w14:paraId="4198FBB2" w14:textId="77777777" w:rsidR="008472C0" w:rsidRPr="009B7685" w:rsidRDefault="4F2C0FBD" w:rsidP="4F2C0FBD">
            <w:pPr>
              <w:pStyle w:val="PargrafodaLista"/>
              <w:ind w:left="0"/>
              <w:rPr>
                <w:rFonts w:eastAsiaTheme="minorEastAsia"/>
              </w:rPr>
            </w:pPr>
            <w:r w:rsidRPr="4F2C0FBD">
              <w:rPr>
                <w:rFonts w:eastAsiaTheme="minorEastAsia"/>
              </w:rPr>
              <w:t>Atraso ou suspensão do processo licitatório em face de impugnações</w:t>
            </w:r>
          </w:p>
        </w:tc>
        <w:tc>
          <w:tcPr>
            <w:tcW w:w="1416" w:type="dxa"/>
            <w:shd w:val="clear" w:color="auto" w:fill="FFC000"/>
          </w:tcPr>
          <w:p w14:paraId="24FCBBE0" w14:textId="77777777" w:rsidR="008472C0" w:rsidRPr="009B7685" w:rsidRDefault="4F2C0FBD" w:rsidP="4F2C0FBD">
            <w:pPr>
              <w:pStyle w:val="PargrafodaLista"/>
              <w:ind w:left="0"/>
              <w:jc w:val="center"/>
              <w:rPr>
                <w:rFonts w:eastAsiaTheme="minorEastAsia"/>
              </w:rPr>
            </w:pPr>
            <w:r w:rsidRPr="4F2C0FBD">
              <w:rPr>
                <w:rFonts w:eastAsiaTheme="minorEastAsia"/>
              </w:rPr>
              <w:t>Grau do risco</w:t>
            </w:r>
          </w:p>
          <w:p w14:paraId="0EC03C8C" w14:textId="77777777" w:rsidR="008472C0" w:rsidRPr="009B7685" w:rsidRDefault="4F2C0FBD" w:rsidP="4F2C0FBD">
            <w:pPr>
              <w:pStyle w:val="PargrafodaLista"/>
              <w:tabs>
                <w:tab w:val="center" w:pos="600"/>
              </w:tabs>
              <w:ind w:left="0"/>
              <w:jc w:val="center"/>
              <w:rPr>
                <w:rFonts w:eastAsiaTheme="minorEastAsia"/>
              </w:rPr>
            </w:pPr>
            <w:r w:rsidRPr="4F2C0FBD">
              <w:rPr>
                <w:rFonts w:eastAsiaTheme="minorEastAsia"/>
              </w:rPr>
              <w:t>(MÉDIO</w:t>
            </w:r>
            <w:r w:rsidRPr="4F2C0FBD">
              <w:rPr>
                <w:rFonts w:eastAsiaTheme="minorEastAsia"/>
                <w:color w:val="000000" w:themeColor="text1"/>
              </w:rPr>
              <w:t>)</w:t>
            </w:r>
          </w:p>
        </w:tc>
      </w:tr>
      <w:tr w:rsidR="008472C0" w:rsidRPr="009B7685" w14:paraId="593FD059" w14:textId="77777777" w:rsidTr="4F2C0FBD">
        <w:trPr>
          <w:trHeight w:val="277"/>
          <w:jc w:val="center"/>
        </w:trPr>
        <w:tc>
          <w:tcPr>
            <w:tcW w:w="1624" w:type="dxa"/>
            <w:gridSpan w:val="2"/>
          </w:tcPr>
          <w:p w14:paraId="3A93305B" w14:textId="77777777" w:rsidR="008472C0" w:rsidRPr="009B7685" w:rsidRDefault="4F2C0FBD" w:rsidP="4F2C0FBD">
            <w:pPr>
              <w:pStyle w:val="PargrafodaLista"/>
              <w:ind w:left="0"/>
              <w:rPr>
                <w:rFonts w:eastAsiaTheme="minorEastAsia"/>
              </w:rPr>
            </w:pPr>
            <w:r w:rsidRPr="4F2C0FBD">
              <w:rPr>
                <w:rFonts w:eastAsiaTheme="minorEastAsia"/>
              </w:rPr>
              <w:t>Probabilidade</w:t>
            </w:r>
          </w:p>
        </w:tc>
        <w:tc>
          <w:tcPr>
            <w:tcW w:w="7196" w:type="dxa"/>
            <w:gridSpan w:val="3"/>
          </w:tcPr>
          <w:p w14:paraId="3BB2E674" w14:textId="77777777" w:rsidR="008472C0" w:rsidRPr="009B7685" w:rsidRDefault="4F2C0FBD" w:rsidP="4F2C0FBD">
            <w:pPr>
              <w:pStyle w:val="PargrafodaLista"/>
              <w:ind w:left="0"/>
              <w:rPr>
                <w:rFonts w:eastAsiaTheme="minorEastAsia"/>
              </w:rPr>
            </w:pPr>
            <w:r w:rsidRPr="4F2C0FBD">
              <w:rPr>
                <w:rFonts w:eastAsiaTheme="minorEastAsia"/>
              </w:rPr>
              <w:t>( x ) Baixa                                    (   ) Média                               (    ) Alta</w:t>
            </w:r>
          </w:p>
        </w:tc>
      </w:tr>
      <w:tr w:rsidR="008472C0" w:rsidRPr="009B7685" w14:paraId="406FE6BD" w14:textId="77777777" w:rsidTr="4F2C0FBD">
        <w:trPr>
          <w:trHeight w:val="277"/>
          <w:jc w:val="center"/>
        </w:trPr>
        <w:tc>
          <w:tcPr>
            <w:tcW w:w="1624" w:type="dxa"/>
            <w:gridSpan w:val="2"/>
          </w:tcPr>
          <w:p w14:paraId="0028C8DE" w14:textId="77777777" w:rsidR="008472C0" w:rsidRPr="009B7685" w:rsidRDefault="4F2C0FBD" w:rsidP="4F2C0FBD">
            <w:pPr>
              <w:pStyle w:val="PargrafodaLista"/>
              <w:ind w:left="0"/>
              <w:rPr>
                <w:rFonts w:eastAsiaTheme="minorEastAsia"/>
              </w:rPr>
            </w:pPr>
            <w:r w:rsidRPr="4F2C0FBD">
              <w:rPr>
                <w:rFonts w:eastAsiaTheme="minorEastAsia"/>
              </w:rPr>
              <w:t>Impacto</w:t>
            </w:r>
          </w:p>
        </w:tc>
        <w:tc>
          <w:tcPr>
            <w:tcW w:w="7196" w:type="dxa"/>
            <w:gridSpan w:val="3"/>
          </w:tcPr>
          <w:p w14:paraId="37AE9AA8" w14:textId="77777777" w:rsidR="008472C0" w:rsidRPr="009B7685" w:rsidRDefault="4F2C0FBD" w:rsidP="4F2C0FBD">
            <w:pPr>
              <w:pStyle w:val="PargrafodaLista"/>
              <w:ind w:left="0"/>
              <w:rPr>
                <w:rFonts w:eastAsiaTheme="minorEastAsia"/>
              </w:rPr>
            </w:pPr>
            <w:r w:rsidRPr="4F2C0FBD">
              <w:rPr>
                <w:rFonts w:eastAsiaTheme="minorEastAsia"/>
              </w:rPr>
              <w:t>(    ) Baixo                                    (    ) Média                               ( x ) Alta</w:t>
            </w:r>
          </w:p>
        </w:tc>
      </w:tr>
      <w:tr w:rsidR="008472C0" w:rsidRPr="009B7685" w14:paraId="3D43E9E5" w14:textId="77777777" w:rsidTr="4F2C0FBD">
        <w:trPr>
          <w:trHeight w:val="277"/>
          <w:jc w:val="center"/>
        </w:trPr>
        <w:tc>
          <w:tcPr>
            <w:tcW w:w="491" w:type="dxa"/>
          </w:tcPr>
          <w:p w14:paraId="1FF3C25E" w14:textId="77777777" w:rsidR="008472C0" w:rsidRPr="009B7685" w:rsidRDefault="4F2C0FBD" w:rsidP="4F2C0FBD">
            <w:pPr>
              <w:pStyle w:val="PargrafodaLista"/>
              <w:ind w:left="0"/>
              <w:rPr>
                <w:rFonts w:eastAsiaTheme="minorEastAsia"/>
                <w:b/>
                <w:bCs/>
              </w:rPr>
            </w:pPr>
            <w:r w:rsidRPr="4F2C0FBD">
              <w:rPr>
                <w:rFonts w:eastAsiaTheme="minorEastAsia"/>
                <w:b/>
                <w:bCs/>
              </w:rPr>
              <w:t>Id.</w:t>
            </w:r>
          </w:p>
        </w:tc>
        <w:tc>
          <w:tcPr>
            <w:tcW w:w="8329" w:type="dxa"/>
            <w:gridSpan w:val="4"/>
          </w:tcPr>
          <w:p w14:paraId="65746497" w14:textId="77777777" w:rsidR="008472C0" w:rsidRPr="009B7685" w:rsidRDefault="4F2C0FBD" w:rsidP="4F2C0FBD">
            <w:pPr>
              <w:pStyle w:val="PargrafodaLista"/>
              <w:ind w:left="0"/>
              <w:rPr>
                <w:rFonts w:eastAsiaTheme="minorEastAsia"/>
                <w:b/>
                <w:bCs/>
              </w:rPr>
            </w:pPr>
            <w:r w:rsidRPr="4F2C0FBD">
              <w:rPr>
                <w:rFonts w:eastAsiaTheme="minorEastAsia"/>
                <w:b/>
                <w:bCs/>
              </w:rPr>
              <w:t>Dano</w:t>
            </w:r>
          </w:p>
        </w:tc>
      </w:tr>
      <w:tr w:rsidR="008472C0" w:rsidRPr="009B7685" w14:paraId="63E70EAE" w14:textId="77777777" w:rsidTr="4F2C0FBD">
        <w:trPr>
          <w:trHeight w:val="277"/>
          <w:jc w:val="center"/>
        </w:trPr>
        <w:tc>
          <w:tcPr>
            <w:tcW w:w="491" w:type="dxa"/>
          </w:tcPr>
          <w:p w14:paraId="7170C563"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8329" w:type="dxa"/>
            <w:gridSpan w:val="4"/>
          </w:tcPr>
          <w:p w14:paraId="0E5166F2"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Não cumprimento dos prazos estabelecidos inicialmente no projeto, podendo afetar o pleno funcionamento do sistema de armazenamento de dados do PJMT.</w:t>
            </w:r>
          </w:p>
        </w:tc>
      </w:tr>
      <w:tr w:rsidR="008472C0" w:rsidRPr="009B7685" w14:paraId="17834319" w14:textId="77777777" w:rsidTr="4F2C0FBD">
        <w:trPr>
          <w:trHeight w:val="277"/>
          <w:jc w:val="center"/>
        </w:trPr>
        <w:tc>
          <w:tcPr>
            <w:tcW w:w="491" w:type="dxa"/>
          </w:tcPr>
          <w:p w14:paraId="322B0EF7" w14:textId="77777777" w:rsidR="008472C0" w:rsidRPr="009B7685" w:rsidRDefault="008472C0" w:rsidP="0069655B">
            <w:pPr>
              <w:pStyle w:val="PargrafodaLista"/>
              <w:ind w:left="0"/>
              <w:rPr>
                <w:rFonts w:cstheme="minorHAnsi"/>
              </w:rPr>
            </w:pPr>
          </w:p>
        </w:tc>
        <w:tc>
          <w:tcPr>
            <w:tcW w:w="6349" w:type="dxa"/>
            <w:gridSpan w:val="2"/>
          </w:tcPr>
          <w:p w14:paraId="38E9E6D5" w14:textId="77777777" w:rsidR="008472C0" w:rsidRPr="009B7685" w:rsidRDefault="4F2C0FBD" w:rsidP="4F2C0FBD">
            <w:pPr>
              <w:pStyle w:val="PargrafodaLista"/>
              <w:ind w:left="0"/>
              <w:rPr>
                <w:rFonts w:eastAsiaTheme="minorEastAsia"/>
                <w:b/>
                <w:bCs/>
              </w:rPr>
            </w:pPr>
            <w:r w:rsidRPr="4F2C0FBD">
              <w:rPr>
                <w:rFonts w:eastAsiaTheme="minorEastAsia"/>
                <w:b/>
                <w:bCs/>
              </w:rPr>
              <w:t>Ação Preventiva</w:t>
            </w:r>
          </w:p>
        </w:tc>
        <w:tc>
          <w:tcPr>
            <w:tcW w:w="1980" w:type="dxa"/>
            <w:gridSpan w:val="2"/>
          </w:tcPr>
          <w:p w14:paraId="00494FB3"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10E35FC0" w14:textId="77777777" w:rsidTr="4F2C0FBD">
        <w:trPr>
          <w:trHeight w:val="277"/>
          <w:jc w:val="center"/>
        </w:trPr>
        <w:tc>
          <w:tcPr>
            <w:tcW w:w="491" w:type="dxa"/>
          </w:tcPr>
          <w:p w14:paraId="21B1CAFC"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49" w:type="dxa"/>
            <w:gridSpan w:val="2"/>
            <w:vAlign w:val="center"/>
          </w:tcPr>
          <w:p w14:paraId="3CC4F088"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 xml:space="preserve">Elaborar o planejamento da contratação considerando soluções similares em outros órgãos. </w:t>
            </w:r>
          </w:p>
        </w:tc>
        <w:tc>
          <w:tcPr>
            <w:tcW w:w="1980" w:type="dxa"/>
            <w:gridSpan w:val="2"/>
            <w:vAlign w:val="center"/>
          </w:tcPr>
          <w:p w14:paraId="6A4C6C4B"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Equipe de Planejamento.</w:t>
            </w:r>
          </w:p>
        </w:tc>
      </w:tr>
      <w:tr w:rsidR="008472C0" w:rsidRPr="009B7685" w14:paraId="3E4CEAC3" w14:textId="77777777" w:rsidTr="4F2C0FBD">
        <w:trPr>
          <w:trHeight w:val="277"/>
          <w:jc w:val="center"/>
        </w:trPr>
        <w:tc>
          <w:tcPr>
            <w:tcW w:w="491" w:type="dxa"/>
          </w:tcPr>
          <w:p w14:paraId="7DDD0ECE"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6349" w:type="dxa"/>
            <w:gridSpan w:val="2"/>
            <w:vAlign w:val="center"/>
          </w:tcPr>
          <w:p w14:paraId="248DEEAC"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Estabelecer contato prévio com os possíveis fabricantes da solução, de modo a alinhar os requisitos de negócio do PJMT com as especificações técnicas mais aderentes no mercado.</w:t>
            </w:r>
          </w:p>
        </w:tc>
        <w:tc>
          <w:tcPr>
            <w:tcW w:w="1980" w:type="dxa"/>
            <w:gridSpan w:val="2"/>
            <w:vAlign w:val="center"/>
          </w:tcPr>
          <w:p w14:paraId="7409FD72"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Equipe de Planejamento.</w:t>
            </w:r>
          </w:p>
        </w:tc>
      </w:tr>
      <w:tr w:rsidR="008472C0" w:rsidRPr="009B7685" w14:paraId="147B6F64" w14:textId="77777777" w:rsidTr="4F2C0FBD">
        <w:trPr>
          <w:trHeight w:val="277"/>
          <w:jc w:val="center"/>
        </w:trPr>
        <w:tc>
          <w:tcPr>
            <w:tcW w:w="491" w:type="dxa"/>
          </w:tcPr>
          <w:p w14:paraId="27D7077E" w14:textId="77777777" w:rsidR="008472C0" w:rsidRPr="009B7685" w:rsidRDefault="008472C0" w:rsidP="0069655B">
            <w:pPr>
              <w:pStyle w:val="PargrafodaLista"/>
              <w:ind w:left="0"/>
              <w:rPr>
                <w:rFonts w:cstheme="minorHAnsi"/>
              </w:rPr>
            </w:pPr>
          </w:p>
        </w:tc>
        <w:tc>
          <w:tcPr>
            <w:tcW w:w="6349" w:type="dxa"/>
            <w:gridSpan w:val="2"/>
          </w:tcPr>
          <w:p w14:paraId="7F473FA4" w14:textId="77777777" w:rsidR="008472C0" w:rsidRPr="009B7685" w:rsidRDefault="4F2C0FBD" w:rsidP="4F2C0FBD">
            <w:pPr>
              <w:pStyle w:val="PargrafodaLista"/>
              <w:ind w:left="0"/>
              <w:rPr>
                <w:rFonts w:eastAsiaTheme="minorEastAsia"/>
                <w:b/>
                <w:bCs/>
              </w:rPr>
            </w:pPr>
            <w:r w:rsidRPr="4F2C0FBD">
              <w:rPr>
                <w:rFonts w:eastAsiaTheme="minorEastAsia"/>
                <w:b/>
                <w:bCs/>
              </w:rPr>
              <w:t>Ação de Contingência</w:t>
            </w:r>
          </w:p>
        </w:tc>
        <w:tc>
          <w:tcPr>
            <w:tcW w:w="1980" w:type="dxa"/>
            <w:gridSpan w:val="2"/>
          </w:tcPr>
          <w:p w14:paraId="6B6172BB"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221CD6C9" w14:textId="77777777" w:rsidTr="4F2C0FBD">
        <w:trPr>
          <w:trHeight w:val="277"/>
          <w:jc w:val="center"/>
        </w:trPr>
        <w:tc>
          <w:tcPr>
            <w:tcW w:w="491" w:type="dxa"/>
          </w:tcPr>
          <w:p w14:paraId="5E6D01C1"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49" w:type="dxa"/>
            <w:gridSpan w:val="2"/>
            <w:vAlign w:val="center"/>
          </w:tcPr>
          <w:p w14:paraId="16E92C52"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0A560C26"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 xml:space="preserve">Equipe de Planejamento </w:t>
            </w:r>
          </w:p>
        </w:tc>
      </w:tr>
    </w:tbl>
    <w:p w14:paraId="4768B3B6" w14:textId="77777777" w:rsidR="008472C0" w:rsidRPr="009B7685" w:rsidRDefault="008472C0" w:rsidP="008472C0">
      <w:pPr>
        <w:pStyle w:val="Primeirorecuodecorpodetexto"/>
        <w:spacing w:after="120"/>
        <w:ind w:firstLine="1134"/>
        <w:rPr>
          <w:rFonts w:cstheme="minorHAnsi"/>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472C0" w:rsidRPr="009B7685" w14:paraId="06E38562" w14:textId="77777777" w:rsidTr="4F2C0FBD">
        <w:trPr>
          <w:trHeight w:val="281"/>
          <w:jc w:val="center"/>
        </w:trPr>
        <w:tc>
          <w:tcPr>
            <w:tcW w:w="8820" w:type="dxa"/>
            <w:gridSpan w:val="5"/>
          </w:tcPr>
          <w:p w14:paraId="16C32D07" w14:textId="77777777" w:rsidR="008472C0" w:rsidRPr="009B7685" w:rsidRDefault="4F2C0FBD" w:rsidP="4F2C0FBD">
            <w:pPr>
              <w:ind w:left="360"/>
              <w:jc w:val="center"/>
              <w:rPr>
                <w:rFonts w:eastAsiaTheme="minorEastAsia"/>
                <w:b/>
                <w:bCs/>
                <w:color w:val="FF0000"/>
              </w:rPr>
            </w:pPr>
            <w:r w:rsidRPr="4F2C0FBD">
              <w:rPr>
                <w:rFonts w:eastAsiaTheme="minorEastAsia"/>
                <w:b/>
                <w:bCs/>
              </w:rPr>
              <w:t xml:space="preserve">REFERENTE À FASE </w:t>
            </w:r>
          </w:p>
          <w:p w14:paraId="58A32C33" w14:textId="77777777" w:rsidR="008472C0" w:rsidRPr="009B7685" w:rsidRDefault="4F2C0FBD" w:rsidP="4F2C0FBD">
            <w:pPr>
              <w:ind w:left="360"/>
              <w:jc w:val="center"/>
              <w:rPr>
                <w:rFonts w:eastAsiaTheme="minorEastAsia"/>
              </w:rPr>
            </w:pPr>
            <w:r w:rsidRPr="4F2C0FBD">
              <w:rPr>
                <w:rFonts w:eastAsiaTheme="minorEastAsia"/>
                <w:b/>
                <w:bCs/>
              </w:rPr>
              <w:t>( x) Planejamento de Contratação e Seleção do Fornecedor  (  ) Gestão do Contrato</w:t>
            </w:r>
          </w:p>
        </w:tc>
      </w:tr>
      <w:tr w:rsidR="008472C0" w:rsidRPr="009B7685" w14:paraId="686DB146" w14:textId="77777777" w:rsidTr="4F2C0FBD">
        <w:trPr>
          <w:trHeight w:val="281"/>
          <w:jc w:val="center"/>
        </w:trPr>
        <w:tc>
          <w:tcPr>
            <w:tcW w:w="1624" w:type="dxa"/>
            <w:gridSpan w:val="2"/>
          </w:tcPr>
          <w:p w14:paraId="6180C6CF" w14:textId="77777777" w:rsidR="008472C0" w:rsidRPr="009B7685" w:rsidRDefault="4F2C0FBD" w:rsidP="4F2C0FBD">
            <w:pPr>
              <w:jc w:val="both"/>
              <w:rPr>
                <w:rFonts w:eastAsiaTheme="minorEastAsia"/>
              </w:rPr>
            </w:pPr>
            <w:r w:rsidRPr="4F2C0FBD">
              <w:rPr>
                <w:rFonts w:eastAsiaTheme="minorEastAsia"/>
                <w:b/>
                <w:bCs/>
              </w:rPr>
              <w:t>Risco 03</w:t>
            </w:r>
          </w:p>
        </w:tc>
        <w:tc>
          <w:tcPr>
            <w:tcW w:w="5780" w:type="dxa"/>
            <w:gridSpan w:val="2"/>
          </w:tcPr>
          <w:p w14:paraId="2457D49C" w14:textId="77777777" w:rsidR="008472C0" w:rsidRPr="009B7685" w:rsidRDefault="4F2C0FBD" w:rsidP="4F2C0FBD">
            <w:pPr>
              <w:pStyle w:val="PargrafodaLista"/>
              <w:ind w:left="0"/>
              <w:rPr>
                <w:rFonts w:eastAsiaTheme="minorEastAsia"/>
              </w:rPr>
            </w:pPr>
            <w:r w:rsidRPr="4F2C0FBD">
              <w:rPr>
                <w:rFonts w:eastAsiaTheme="minorEastAsia"/>
              </w:rPr>
              <w:t xml:space="preserve">Orçamento estimado da contratação mal estimado </w:t>
            </w:r>
          </w:p>
        </w:tc>
        <w:tc>
          <w:tcPr>
            <w:tcW w:w="1416" w:type="dxa"/>
            <w:shd w:val="clear" w:color="auto" w:fill="FFC000"/>
          </w:tcPr>
          <w:p w14:paraId="58841D3E" w14:textId="77777777" w:rsidR="008472C0" w:rsidRPr="009B7685" w:rsidRDefault="4F2C0FBD" w:rsidP="4F2C0FBD">
            <w:pPr>
              <w:pStyle w:val="PargrafodaLista"/>
              <w:ind w:left="0"/>
              <w:jc w:val="center"/>
              <w:rPr>
                <w:rFonts w:eastAsiaTheme="minorEastAsia"/>
              </w:rPr>
            </w:pPr>
            <w:r w:rsidRPr="4F2C0FBD">
              <w:rPr>
                <w:rFonts w:eastAsiaTheme="minorEastAsia"/>
              </w:rPr>
              <w:t>Grau do risco</w:t>
            </w:r>
          </w:p>
          <w:p w14:paraId="5F62B2AE" w14:textId="77777777" w:rsidR="008472C0" w:rsidRPr="009B7685" w:rsidRDefault="4F2C0FBD" w:rsidP="4F2C0FBD">
            <w:pPr>
              <w:pStyle w:val="PargrafodaLista"/>
              <w:tabs>
                <w:tab w:val="center" w:pos="600"/>
              </w:tabs>
              <w:ind w:left="0"/>
              <w:jc w:val="center"/>
              <w:rPr>
                <w:rFonts w:eastAsiaTheme="minorEastAsia"/>
              </w:rPr>
            </w:pPr>
            <w:r w:rsidRPr="4F2C0FBD">
              <w:rPr>
                <w:rFonts w:eastAsiaTheme="minorEastAsia"/>
              </w:rPr>
              <w:t>(MÉDIO</w:t>
            </w:r>
            <w:r w:rsidRPr="4F2C0FBD">
              <w:rPr>
                <w:rFonts w:eastAsiaTheme="minorEastAsia"/>
                <w:color w:val="000000" w:themeColor="text1"/>
              </w:rPr>
              <w:t>)</w:t>
            </w:r>
          </w:p>
        </w:tc>
      </w:tr>
      <w:tr w:rsidR="008472C0" w:rsidRPr="009B7685" w14:paraId="1C5FFDD3" w14:textId="77777777" w:rsidTr="4F2C0FBD">
        <w:trPr>
          <w:trHeight w:val="277"/>
          <w:jc w:val="center"/>
        </w:trPr>
        <w:tc>
          <w:tcPr>
            <w:tcW w:w="1624" w:type="dxa"/>
            <w:gridSpan w:val="2"/>
          </w:tcPr>
          <w:p w14:paraId="5336B221" w14:textId="77777777" w:rsidR="008472C0" w:rsidRPr="009B7685" w:rsidRDefault="4F2C0FBD" w:rsidP="4F2C0FBD">
            <w:pPr>
              <w:pStyle w:val="PargrafodaLista"/>
              <w:ind w:left="0"/>
              <w:rPr>
                <w:rFonts w:eastAsiaTheme="minorEastAsia"/>
              </w:rPr>
            </w:pPr>
            <w:r w:rsidRPr="4F2C0FBD">
              <w:rPr>
                <w:rFonts w:eastAsiaTheme="minorEastAsia"/>
              </w:rPr>
              <w:t>Probabilidade</w:t>
            </w:r>
          </w:p>
        </w:tc>
        <w:tc>
          <w:tcPr>
            <w:tcW w:w="7196" w:type="dxa"/>
            <w:gridSpan w:val="3"/>
          </w:tcPr>
          <w:p w14:paraId="745C84CF" w14:textId="77777777" w:rsidR="008472C0" w:rsidRPr="009B7685" w:rsidRDefault="4F2C0FBD" w:rsidP="4F2C0FBD">
            <w:pPr>
              <w:pStyle w:val="PargrafodaLista"/>
              <w:ind w:left="0"/>
              <w:rPr>
                <w:rFonts w:eastAsiaTheme="minorEastAsia"/>
              </w:rPr>
            </w:pPr>
            <w:r w:rsidRPr="4F2C0FBD">
              <w:rPr>
                <w:rFonts w:eastAsiaTheme="minorEastAsia"/>
              </w:rPr>
              <w:t>( x ) Baixa                                    (   ) Média                               (    ) Alta</w:t>
            </w:r>
          </w:p>
        </w:tc>
      </w:tr>
      <w:tr w:rsidR="008472C0" w:rsidRPr="009B7685" w14:paraId="61EDE25B" w14:textId="77777777" w:rsidTr="4F2C0FBD">
        <w:trPr>
          <w:trHeight w:val="277"/>
          <w:jc w:val="center"/>
        </w:trPr>
        <w:tc>
          <w:tcPr>
            <w:tcW w:w="1624" w:type="dxa"/>
            <w:gridSpan w:val="2"/>
          </w:tcPr>
          <w:p w14:paraId="29994E9C" w14:textId="77777777" w:rsidR="008472C0" w:rsidRPr="009B7685" w:rsidRDefault="4F2C0FBD" w:rsidP="4F2C0FBD">
            <w:pPr>
              <w:pStyle w:val="PargrafodaLista"/>
              <w:ind w:left="0"/>
              <w:rPr>
                <w:rFonts w:eastAsiaTheme="minorEastAsia"/>
              </w:rPr>
            </w:pPr>
            <w:r w:rsidRPr="4F2C0FBD">
              <w:rPr>
                <w:rFonts w:eastAsiaTheme="minorEastAsia"/>
              </w:rPr>
              <w:t>Impacto</w:t>
            </w:r>
          </w:p>
        </w:tc>
        <w:tc>
          <w:tcPr>
            <w:tcW w:w="7196" w:type="dxa"/>
            <w:gridSpan w:val="3"/>
          </w:tcPr>
          <w:p w14:paraId="79699108" w14:textId="77777777" w:rsidR="008472C0" w:rsidRPr="009B7685" w:rsidRDefault="4F2C0FBD" w:rsidP="4F2C0FBD">
            <w:pPr>
              <w:pStyle w:val="PargrafodaLista"/>
              <w:ind w:left="0"/>
              <w:rPr>
                <w:rFonts w:eastAsiaTheme="minorEastAsia"/>
              </w:rPr>
            </w:pPr>
            <w:r w:rsidRPr="4F2C0FBD">
              <w:rPr>
                <w:rFonts w:eastAsiaTheme="minorEastAsia"/>
              </w:rPr>
              <w:t>(    ) Baixo                                    (    ) Média                               ( x ) Alta</w:t>
            </w:r>
          </w:p>
        </w:tc>
      </w:tr>
      <w:tr w:rsidR="008472C0" w:rsidRPr="009B7685" w14:paraId="6F344C1E" w14:textId="77777777" w:rsidTr="4F2C0FBD">
        <w:trPr>
          <w:trHeight w:val="277"/>
          <w:jc w:val="center"/>
        </w:trPr>
        <w:tc>
          <w:tcPr>
            <w:tcW w:w="491" w:type="dxa"/>
          </w:tcPr>
          <w:p w14:paraId="7E11A009" w14:textId="77777777" w:rsidR="008472C0" w:rsidRPr="009B7685" w:rsidRDefault="4F2C0FBD" w:rsidP="4F2C0FBD">
            <w:pPr>
              <w:pStyle w:val="PargrafodaLista"/>
              <w:ind w:left="0"/>
              <w:rPr>
                <w:rFonts w:eastAsiaTheme="minorEastAsia"/>
                <w:b/>
                <w:bCs/>
              </w:rPr>
            </w:pPr>
            <w:r w:rsidRPr="4F2C0FBD">
              <w:rPr>
                <w:rFonts w:eastAsiaTheme="minorEastAsia"/>
                <w:b/>
                <w:bCs/>
              </w:rPr>
              <w:t>Id.</w:t>
            </w:r>
          </w:p>
        </w:tc>
        <w:tc>
          <w:tcPr>
            <w:tcW w:w="8329" w:type="dxa"/>
            <w:gridSpan w:val="4"/>
          </w:tcPr>
          <w:p w14:paraId="05357774" w14:textId="77777777" w:rsidR="008472C0" w:rsidRPr="009B7685" w:rsidRDefault="4F2C0FBD" w:rsidP="4F2C0FBD">
            <w:pPr>
              <w:pStyle w:val="PargrafodaLista"/>
              <w:ind w:left="0"/>
              <w:rPr>
                <w:rFonts w:eastAsiaTheme="minorEastAsia"/>
                <w:b/>
                <w:bCs/>
              </w:rPr>
            </w:pPr>
            <w:r w:rsidRPr="4F2C0FBD">
              <w:rPr>
                <w:rFonts w:eastAsiaTheme="minorEastAsia"/>
                <w:b/>
                <w:bCs/>
              </w:rPr>
              <w:t>Dano</w:t>
            </w:r>
          </w:p>
        </w:tc>
      </w:tr>
      <w:tr w:rsidR="008472C0" w:rsidRPr="009B7685" w14:paraId="758B3242" w14:textId="77777777" w:rsidTr="4F2C0FBD">
        <w:trPr>
          <w:trHeight w:val="277"/>
          <w:jc w:val="center"/>
        </w:trPr>
        <w:tc>
          <w:tcPr>
            <w:tcW w:w="491" w:type="dxa"/>
          </w:tcPr>
          <w:p w14:paraId="445916D4"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8329" w:type="dxa"/>
            <w:gridSpan w:val="4"/>
          </w:tcPr>
          <w:p w14:paraId="28CDADA4" w14:textId="77777777" w:rsidR="008472C0" w:rsidRPr="009B7685" w:rsidRDefault="4F2C0FBD" w:rsidP="4F2C0FBD">
            <w:pPr>
              <w:pStyle w:val="PargrafodaLista"/>
              <w:ind w:left="0"/>
              <w:rPr>
                <w:rFonts w:eastAsiaTheme="minorEastAsia"/>
                <w:color w:val="000000" w:themeColor="text1"/>
              </w:rPr>
            </w:pPr>
            <w:r w:rsidRPr="4F2C0FBD">
              <w:rPr>
                <w:rFonts w:eastAsiaTheme="minorEastAsia"/>
                <w:color w:val="000000" w:themeColor="text1"/>
              </w:rPr>
              <w:t xml:space="preserve">Encerrar a licitação com valores inexequíveis, impedindo a adjudicação do processo </w:t>
            </w:r>
          </w:p>
        </w:tc>
      </w:tr>
      <w:tr w:rsidR="008472C0" w:rsidRPr="009B7685" w14:paraId="07ECCD18" w14:textId="77777777" w:rsidTr="4F2C0FBD">
        <w:trPr>
          <w:trHeight w:val="277"/>
          <w:jc w:val="center"/>
        </w:trPr>
        <w:tc>
          <w:tcPr>
            <w:tcW w:w="491" w:type="dxa"/>
          </w:tcPr>
          <w:p w14:paraId="78140B54"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8329" w:type="dxa"/>
            <w:gridSpan w:val="4"/>
          </w:tcPr>
          <w:p w14:paraId="34039160" w14:textId="77777777" w:rsidR="008472C0" w:rsidRPr="009B7685" w:rsidRDefault="4F2C0FBD" w:rsidP="4F2C0FBD">
            <w:pPr>
              <w:pStyle w:val="PargrafodaLista"/>
              <w:ind w:left="0"/>
              <w:rPr>
                <w:rFonts w:eastAsiaTheme="minorEastAsia"/>
                <w:color w:val="000000" w:themeColor="text1"/>
              </w:rPr>
            </w:pPr>
            <w:r w:rsidRPr="4F2C0FBD">
              <w:rPr>
                <w:rFonts w:eastAsiaTheme="minorEastAsia"/>
                <w:color w:val="000000" w:themeColor="text1"/>
              </w:rPr>
              <w:t>Licitação Deserta</w:t>
            </w:r>
          </w:p>
        </w:tc>
      </w:tr>
      <w:tr w:rsidR="008472C0" w:rsidRPr="009B7685" w14:paraId="5E5A16B7" w14:textId="77777777" w:rsidTr="4F2C0FBD">
        <w:trPr>
          <w:trHeight w:val="277"/>
          <w:jc w:val="center"/>
        </w:trPr>
        <w:tc>
          <w:tcPr>
            <w:tcW w:w="491" w:type="dxa"/>
          </w:tcPr>
          <w:p w14:paraId="2284D48F" w14:textId="77777777" w:rsidR="008472C0" w:rsidRPr="009B7685" w:rsidRDefault="4F2C0FBD" w:rsidP="4F2C0FBD">
            <w:pPr>
              <w:pStyle w:val="PargrafodaLista"/>
              <w:ind w:left="0"/>
              <w:rPr>
                <w:rFonts w:eastAsiaTheme="minorEastAsia"/>
              </w:rPr>
            </w:pPr>
            <w:r w:rsidRPr="4F2C0FBD">
              <w:rPr>
                <w:rFonts w:eastAsiaTheme="minorEastAsia"/>
              </w:rPr>
              <w:t>3</w:t>
            </w:r>
          </w:p>
        </w:tc>
        <w:tc>
          <w:tcPr>
            <w:tcW w:w="8329" w:type="dxa"/>
            <w:gridSpan w:val="4"/>
          </w:tcPr>
          <w:p w14:paraId="5CDB2653"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Contratar solução com valores acima do mercado / Sofrer sanções por parte de órgãos fiscalizadores.</w:t>
            </w:r>
          </w:p>
        </w:tc>
      </w:tr>
      <w:tr w:rsidR="008472C0" w:rsidRPr="009B7685" w14:paraId="459AC9DE" w14:textId="77777777" w:rsidTr="4F2C0FBD">
        <w:trPr>
          <w:trHeight w:val="277"/>
          <w:jc w:val="center"/>
        </w:trPr>
        <w:tc>
          <w:tcPr>
            <w:tcW w:w="491" w:type="dxa"/>
          </w:tcPr>
          <w:p w14:paraId="41265F25" w14:textId="77777777" w:rsidR="008472C0" w:rsidRPr="009B7685" w:rsidRDefault="008472C0" w:rsidP="0069655B">
            <w:pPr>
              <w:pStyle w:val="PargrafodaLista"/>
              <w:ind w:left="0"/>
              <w:rPr>
                <w:rFonts w:cstheme="minorHAnsi"/>
              </w:rPr>
            </w:pPr>
          </w:p>
        </w:tc>
        <w:tc>
          <w:tcPr>
            <w:tcW w:w="6349" w:type="dxa"/>
            <w:gridSpan w:val="2"/>
          </w:tcPr>
          <w:p w14:paraId="781CE129" w14:textId="77777777" w:rsidR="008472C0" w:rsidRPr="009B7685" w:rsidRDefault="4F2C0FBD" w:rsidP="4F2C0FBD">
            <w:pPr>
              <w:pStyle w:val="PargrafodaLista"/>
              <w:ind w:left="0"/>
              <w:rPr>
                <w:rFonts w:eastAsiaTheme="minorEastAsia"/>
                <w:b/>
                <w:bCs/>
              </w:rPr>
            </w:pPr>
            <w:r w:rsidRPr="4F2C0FBD">
              <w:rPr>
                <w:rFonts w:eastAsiaTheme="minorEastAsia"/>
                <w:b/>
                <w:bCs/>
              </w:rPr>
              <w:t>Ação Preventiva</w:t>
            </w:r>
          </w:p>
        </w:tc>
        <w:tc>
          <w:tcPr>
            <w:tcW w:w="1980" w:type="dxa"/>
            <w:gridSpan w:val="2"/>
          </w:tcPr>
          <w:p w14:paraId="06F6D01E"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4AB5BFF9" w14:textId="77777777" w:rsidTr="4F2C0FBD">
        <w:trPr>
          <w:trHeight w:val="277"/>
          <w:jc w:val="center"/>
        </w:trPr>
        <w:tc>
          <w:tcPr>
            <w:tcW w:w="491" w:type="dxa"/>
          </w:tcPr>
          <w:p w14:paraId="5E3F219D"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49" w:type="dxa"/>
            <w:gridSpan w:val="2"/>
            <w:vAlign w:val="center"/>
          </w:tcPr>
          <w:p w14:paraId="36F96751"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Realizar pesquisa de preço envolvendo todos os participantes de mercado.</w:t>
            </w:r>
          </w:p>
        </w:tc>
        <w:tc>
          <w:tcPr>
            <w:tcW w:w="1980" w:type="dxa"/>
            <w:gridSpan w:val="2"/>
            <w:vAlign w:val="center"/>
          </w:tcPr>
          <w:p w14:paraId="18FD5BC1"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Equipe de Planejamento.</w:t>
            </w:r>
          </w:p>
        </w:tc>
      </w:tr>
      <w:tr w:rsidR="008472C0" w:rsidRPr="009B7685" w14:paraId="0009C696" w14:textId="77777777" w:rsidTr="4F2C0FBD">
        <w:trPr>
          <w:trHeight w:val="277"/>
          <w:jc w:val="center"/>
        </w:trPr>
        <w:tc>
          <w:tcPr>
            <w:tcW w:w="491" w:type="dxa"/>
          </w:tcPr>
          <w:p w14:paraId="39928A86"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6349" w:type="dxa"/>
            <w:gridSpan w:val="2"/>
            <w:vAlign w:val="center"/>
          </w:tcPr>
          <w:p w14:paraId="45D91311"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Utilizar ferramentas de pesquisa de preço público (painel de preços).</w:t>
            </w:r>
          </w:p>
        </w:tc>
        <w:tc>
          <w:tcPr>
            <w:tcW w:w="1980" w:type="dxa"/>
            <w:gridSpan w:val="2"/>
            <w:vAlign w:val="center"/>
          </w:tcPr>
          <w:p w14:paraId="33BD4B98"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Equipe de Planejamento.</w:t>
            </w:r>
          </w:p>
        </w:tc>
      </w:tr>
      <w:tr w:rsidR="008472C0" w:rsidRPr="009B7685" w14:paraId="47581AE6" w14:textId="77777777" w:rsidTr="4F2C0FBD">
        <w:trPr>
          <w:trHeight w:val="277"/>
          <w:jc w:val="center"/>
        </w:trPr>
        <w:tc>
          <w:tcPr>
            <w:tcW w:w="491" w:type="dxa"/>
          </w:tcPr>
          <w:p w14:paraId="12141D18" w14:textId="77777777" w:rsidR="008472C0" w:rsidRPr="009B7685" w:rsidRDefault="4F2C0FBD" w:rsidP="4F2C0FBD">
            <w:pPr>
              <w:pStyle w:val="PargrafodaLista"/>
              <w:ind w:left="0"/>
              <w:rPr>
                <w:rFonts w:eastAsiaTheme="minorEastAsia"/>
              </w:rPr>
            </w:pPr>
            <w:r w:rsidRPr="4F2C0FBD">
              <w:rPr>
                <w:rFonts w:eastAsiaTheme="minorEastAsia"/>
              </w:rPr>
              <w:t>3</w:t>
            </w:r>
          </w:p>
        </w:tc>
        <w:tc>
          <w:tcPr>
            <w:tcW w:w="6349" w:type="dxa"/>
            <w:gridSpan w:val="2"/>
            <w:vAlign w:val="center"/>
          </w:tcPr>
          <w:p w14:paraId="28ACE8D4" w14:textId="77777777" w:rsidR="008472C0" w:rsidRPr="009B7685" w:rsidRDefault="4F2C0FBD" w:rsidP="4F2C0FBD">
            <w:pPr>
              <w:pStyle w:val="PargrafodaLista"/>
              <w:ind w:left="0"/>
              <w:rPr>
                <w:rFonts w:eastAsiaTheme="minorEastAsia"/>
              </w:rPr>
            </w:pPr>
            <w:r w:rsidRPr="4F2C0FBD">
              <w:rPr>
                <w:rFonts w:eastAsiaTheme="minorEastAsia"/>
              </w:rPr>
              <w:t>Especificar o objeto na pesquisa de preço de forma adequada, conforme especificação da solução pretendida na contratação.</w:t>
            </w:r>
          </w:p>
        </w:tc>
        <w:tc>
          <w:tcPr>
            <w:tcW w:w="1980" w:type="dxa"/>
            <w:gridSpan w:val="2"/>
            <w:vAlign w:val="center"/>
          </w:tcPr>
          <w:p w14:paraId="0C6CDC9D"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Equipe de Planejamento.</w:t>
            </w:r>
          </w:p>
        </w:tc>
      </w:tr>
      <w:tr w:rsidR="008472C0" w:rsidRPr="009B7685" w14:paraId="2D480E87" w14:textId="77777777" w:rsidTr="4F2C0FBD">
        <w:trPr>
          <w:trHeight w:val="277"/>
          <w:jc w:val="center"/>
        </w:trPr>
        <w:tc>
          <w:tcPr>
            <w:tcW w:w="491" w:type="dxa"/>
          </w:tcPr>
          <w:p w14:paraId="1A0CB54F" w14:textId="77777777" w:rsidR="008472C0" w:rsidRPr="009B7685" w:rsidRDefault="008472C0" w:rsidP="0069655B">
            <w:pPr>
              <w:pStyle w:val="PargrafodaLista"/>
              <w:ind w:left="0"/>
              <w:rPr>
                <w:rFonts w:cstheme="minorHAnsi"/>
              </w:rPr>
            </w:pPr>
          </w:p>
        </w:tc>
        <w:tc>
          <w:tcPr>
            <w:tcW w:w="6349" w:type="dxa"/>
            <w:gridSpan w:val="2"/>
          </w:tcPr>
          <w:p w14:paraId="749463AC" w14:textId="77777777" w:rsidR="008472C0" w:rsidRPr="009B7685" w:rsidRDefault="4F2C0FBD" w:rsidP="4F2C0FBD">
            <w:pPr>
              <w:pStyle w:val="PargrafodaLista"/>
              <w:ind w:left="0"/>
              <w:rPr>
                <w:rFonts w:eastAsiaTheme="minorEastAsia"/>
                <w:b/>
                <w:bCs/>
              </w:rPr>
            </w:pPr>
            <w:r w:rsidRPr="4F2C0FBD">
              <w:rPr>
                <w:rFonts w:eastAsiaTheme="minorEastAsia"/>
                <w:b/>
                <w:bCs/>
              </w:rPr>
              <w:t>Ação de Contingência</w:t>
            </w:r>
          </w:p>
        </w:tc>
        <w:tc>
          <w:tcPr>
            <w:tcW w:w="1980" w:type="dxa"/>
            <w:gridSpan w:val="2"/>
          </w:tcPr>
          <w:p w14:paraId="7BC0C4BA"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373289B8" w14:textId="77777777" w:rsidTr="4F2C0FBD">
        <w:trPr>
          <w:trHeight w:val="277"/>
          <w:jc w:val="center"/>
        </w:trPr>
        <w:tc>
          <w:tcPr>
            <w:tcW w:w="491" w:type="dxa"/>
          </w:tcPr>
          <w:p w14:paraId="40622DBB"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49" w:type="dxa"/>
            <w:gridSpan w:val="2"/>
            <w:vAlign w:val="center"/>
          </w:tcPr>
          <w:p w14:paraId="11812CDD" w14:textId="77777777" w:rsidR="008472C0" w:rsidRPr="009B7685" w:rsidRDefault="4F2C0FBD" w:rsidP="4F2C0FBD">
            <w:pPr>
              <w:pStyle w:val="PargrafodaLista"/>
              <w:ind w:left="0"/>
              <w:rPr>
                <w:rFonts w:eastAsiaTheme="minorEastAsia"/>
                <w:color w:val="000000" w:themeColor="text1"/>
              </w:rPr>
            </w:pPr>
            <w:r w:rsidRPr="4F2C0FBD">
              <w:rPr>
                <w:rFonts w:eastAsiaTheme="minorEastAsia"/>
                <w:color w:val="000000" w:themeColor="text1"/>
              </w:rPr>
              <w:t>Em caso de suspensão por preço inexequível, realizar pesquisa de preço adequada, para nova publicação de edital.</w:t>
            </w:r>
          </w:p>
        </w:tc>
        <w:tc>
          <w:tcPr>
            <w:tcW w:w="1980" w:type="dxa"/>
            <w:gridSpan w:val="2"/>
            <w:vAlign w:val="center"/>
          </w:tcPr>
          <w:p w14:paraId="23A2CA2B" w14:textId="77777777" w:rsidR="008472C0" w:rsidRPr="009B7685" w:rsidRDefault="4F2C0FBD" w:rsidP="4F2C0FBD">
            <w:pPr>
              <w:pStyle w:val="PargrafodaLista"/>
              <w:ind w:left="0"/>
              <w:jc w:val="left"/>
              <w:rPr>
                <w:rFonts w:eastAsiaTheme="minorEastAsia"/>
                <w:color w:val="000000" w:themeColor="text1"/>
              </w:rPr>
            </w:pPr>
            <w:r w:rsidRPr="4F2C0FBD">
              <w:rPr>
                <w:rFonts w:eastAsiaTheme="minorEastAsia"/>
                <w:color w:val="000000" w:themeColor="text1"/>
              </w:rPr>
              <w:t xml:space="preserve">Equipe de Planejamento </w:t>
            </w:r>
          </w:p>
        </w:tc>
      </w:tr>
      <w:tr w:rsidR="008472C0" w:rsidRPr="009B7685" w14:paraId="348D1B06" w14:textId="77777777" w:rsidTr="4F2C0FBD">
        <w:trPr>
          <w:trHeight w:val="277"/>
          <w:jc w:val="center"/>
        </w:trPr>
        <w:tc>
          <w:tcPr>
            <w:tcW w:w="491" w:type="dxa"/>
          </w:tcPr>
          <w:p w14:paraId="28DA373B"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6349" w:type="dxa"/>
            <w:gridSpan w:val="2"/>
            <w:vAlign w:val="center"/>
          </w:tcPr>
          <w:p w14:paraId="56858EAD" w14:textId="77777777" w:rsidR="008472C0" w:rsidRPr="009B7685" w:rsidRDefault="4F2C0FBD" w:rsidP="4F2C0FBD">
            <w:pPr>
              <w:pStyle w:val="PargrafodaLista"/>
              <w:ind w:left="0"/>
              <w:rPr>
                <w:rFonts w:eastAsiaTheme="minorEastAsia"/>
              </w:rPr>
            </w:pPr>
            <w:r w:rsidRPr="4F2C0FBD">
              <w:rPr>
                <w:rFonts w:eastAsiaTheme="minorEastAsia"/>
              </w:rPr>
              <w:t>Em caso de valores acima do mercado, negociar com a empresa contratada.</w:t>
            </w:r>
          </w:p>
        </w:tc>
        <w:tc>
          <w:tcPr>
            <w:tcW w:w="1980" w:type="dxa"/>
            <w:gridSpan w:val="2"/>
            <w:vAlign w:val="center"/>
          </w:tcPr>
          <w:p w14:paraId="5CBF5E2F"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 xml:space="preserve">Equipe de Planejamento </w:t>
            </w:r>
          </w:p>
        </w:tc>
      </w:tr>
    </w:tbl>
    <w:p w14:paraId="245288E0" w14:textId="77777777" w:rsidR="008472C0" w:rsidRPr="009B7685" w:rsidRDefault="008472C0" w:rsidP="008472C0">
      <w:pPr>
        <w:pStyle w:val="Primeirorecuodecorpodetexto"/>
        <w:spacing w:after="120"/>
        <w:ind w:firstLine="1134"/>
        <w:rPr>
          <w:rFonts w:cstheme="minorHAnsi"/>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472C0" w:rsidRPr="009B7685" w14:paraId="1A333E13" w14:textId="77777777" w:rsidTr="4F2C0FBD">
        <w:trPr>
          <w:trHeight w:val="281"/>
          <w:jc w:val="center"/>
        </w:trPr>
        <w:tc>
          <w:tcPr>
            <w:tcW w:w="8820" w:type="dxa"/>
            <w:gridSpan w:val="5"/>
          </w:tcPr>
          <w:p w14:paraId="0D59CF19" w14:textId="77777777" w:rsidR="008472C0" w:rsidRPr="009B7685" w:rsidRDefault="4F2C0FBD" w:rsidP="4F2C0FBD">
            <w:pPr>
              <w:ind w:left="360"/>
              <w:jc w:val="center"/>
              <w:rPr>
                <w:rFonts w:eastAsiaTheme="minorEastAsia"/>
                <w:b/>
                <w:bCs/>
              </w:rPr>
            </w:pPr>
            <w:r w:rsidRPr="4F2C0FBD">
              <w:rPr>
                <w:rFonts w:eastAsiaTheme="minorEastAsia"/>
                <w:b/>
                <w:bCs/>
              </w:rPr>
              <w:t xml:space="preserve">REFERENTE À FASE </w:t>
            </w:r>
          </w:p>
          <w:p w14:paraId="496A9DC4" w14:textId="77777777" w:rsidR="008472C0" w:rsidRPr="009B7685" w:rsidRDefault="4F2C0FBD" w:rsidP="4F2C0FBD">
            <w:pPr>
              <w:ind w:left="29"/>
              <w:jc w:val="center"/>
              <w:rPr>
                <w:rFonts w:eastAsiaTheme="minorEastAsia"/>
              </w:rPr>
            </w:pPr>
            <w:r w:rsidRPr="4F2C0FBD">
              <w:rPr>
                <w:rFonts w:eastAsiaTheme="minorEastAsia"/>
                <w:b/>
                <w:bCs/>
              </w:rPr>
              <w:t>(   ) Planejamento de Contratação e Seleção do Fornecedor  ( x ) Gestão do Contrato</w:t>
            </w:r>
          </w:p>
        </w:tc>
      </w:tr>
      <w:tr w:rsidR="008472C0" w:rsidRPr="009B7685" w14:paraId="749E5325" w14:textId="77777777" w:rsidTr="4F2C0FBD">
        <w:trPr>
          <w:trHeight w:val="281"/>
          <w:jc w:val="center"/>
        </w:trPr>
        <w:tc>
          <w:tcPr>
            <w:tcW w:w="1624" w:type="dxa"/>
            <w:gridSpan w:val="2"/>
          </w:tcPr>
          <w:p w14:paraId="3AE11886" w14:textId="77777777" w:rsidR="008472C0" w:rsidRPr="009B7685" w:rsidRDefault="4F2C0FBD" w:rsidP="4F2C0FBD">
            <w:pPr>
              <w:jc w:val="both"/>
              <w:rPr>
                <w:rFonts w:eastAsiaTheme="minorEastAsia"/>
              </w:rPr>
            </w:pPr>
            <w:r w:rsidRPr="4F2C0FBD">
              <w:rPr>
                <w:rFonts w:eastAsiaTheme="minorEastAsia"/>
                <w:b/>
                <w:bCs/>
              </w:rPr>
              <w:t>Risco 04</w:t>
            </w:r>
          </w:p>
        </w:tc>
        <w:tc>
          <w:tcPr>
            <w:tcW w:w="5780" w:type="dxa"/>
            <w:gridSpan w:val="2"/>
          </w:tcPr>
          <w:p w14:paraId="68769A4E"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Contratada ficar impossibilitada de prestar os serviços contratados devido a não manutenção das condições habilitatórias.</w:t>
            </w:r>
          </w:p>
        </w:tc>
        <w:tc>
          <w:tcPr>
            <w:tcW w:w="1416" w:type="dxa"/>
            <w:shd w:val="clear" w:color="auto" w:fill="FFC000"/>
          </w:tcPr>
          <w:p w14:paraId="290A8312" w14:textId="77777777" w:rsidR="008472C0" w:rsidRPr="009B7685" w:rsidRDefault="4F2C0FBD" w:rsidP="4F2C0FBD">
            <w:pPr>
              <w:pStyle w:val="PargrafodaLista"/>
              <w:ind w:left="0"/>
              <w:jc w:val="center"/>
              <w:rPr>
                <w:rFonts w:eastAsiaTheme="minorEastAsia"/>
              </w:rPr>
            </w:pPr>
            <w:r w:rsidRPr="4F2C0FBD">
              <w:rPr>
                <w:rFonts w:eastAsiaTheme="minorEastAsia"/>
              </w:rPr>
              <w:t>Grau do risco</w:t>
            </w:r>
          </w:p>
          <w:p w14:paraId="13531020" w14:textId="77777777" w:rsidR="008472C0" w:rsidRPr="009B7685" w:rsidRDefault="4F2C0FBD" w:rsidP="4F2C0FBD">
            <w:pPr>
              <w:pStyle w:val="PargrafodaLista"/>
              <w:tabs>
                <w:tab w:val="center" w:pos="600"/>
              </w:tabs>
              <w:ind w:left="0"/>
              <w:jc w:val="center"/>
              <w:rPr>
                <w:rFonts w:eastAsiaTheme="minorEastAsia"/>
              </w:rPr>
            </w:pPr>
            <w:r w:rsidRPr="4F2C0FBD">
              <w:rPr>
                <w:rFonts w:eastAsiaTheme="minorEastAsia"/>
              </w:rPr>
              <w:t>(MÉDIO</w:t>
            </w:r>
            <w:r w:rsidRPr="4F2C0FBD">
              <w:rPr>
                <w:rFonts w:eastAsiaTheme="minorEastAsia"/>
                <w:color w:val="000000" w:themeColor="text1"/>
              </w:rPr>
              <w:t>)</w:t>
            </w:r>
          </w:p>
        </w:tc>
      </w:tr>
      <w:tr w:rsidR="008472C0" w:rsidRPr="009B7685" w14:paraId="67980221" w14:textId="77777777" w:rsidTr="4F2C0FBD">
        <w:trPr>
          <w:trHeight w:val="277"/>
          <w:jc w:val="center"/>
        </w:trPr>
        <w:tc>
          <w:tcPr>
            <w:tcW w:w="1624" w:type="dxa"/>
            <w:gridSpan w:val="2"/>
          </w:tcPr>
          <w:p w14:paraId="78E8A321" w14:textId="77777777" w:rsidR="008472C0" w:rsidRPr="009B7685" w:rsidRDefault="4F2C0FBD" w:rsidP="4F2C0FBD">
            <w:pPr>
              <w:pStyle w:val="PargrafodaLista"/>
              <w:ind w:left="0"/>
              <w:rPr>
                <w:rFonts w:eastAsiaTheme="minorEastAsia"/>
              </w:rPr>
            </w:pPr>
            <w:r w:rsidRPr="4F2C0FBD">
              <w:rPr>
                <w:rFonts w:eastAsiaTheme="minorEastAsia"/>
              </w:rPr>
              <w:t>Probabilidade</w:t>
            </w:r>
          </w:p>
        </w:tc>
        <w:tc>
          <w:tcPr>
            <w:tcW w:w="7196" w:type="dxa"/>
            <w:gridSpan w:val="3"/>
          </w:tcPr>
          <w:p w14:paraId="0FC73063" w14:textId="77777777" w:rsidR="008472C0" w:rsidRPr="009B7685" w:rsidRDefault="4F2C0FBD" w:rsidP="4F2C0FBD">
            <w:pPr>
              <w:pStyle w:val="PargrafodaLista"/>
              <w:ind w:left="0"/>
              <w:rPr>
                <w:rFonts w:eastAsiaTheme="minorEastAsia"/>
              </w:rPr>
            </w:pPr>
            <w:r w:rsidRPr="4F2C0FBD">
              <w:rPr>
                <w:rFonts w:eastAsiaTheme="minorEastAsia"/>
              </w:rPr>
              <w:t>( x ) Baixa                                 (   ) Média                                (   ) Alta</w:t>
            </w:r>
          </w:p>
        </w:tc>
      </w:tr>
      <w:tr w:rsidR="008472C0" w:rsidRPr="009B7685" w14:paraId="79BCBA53" w14:textId="77777777" w:rsidTr="4F2C0FBD">
        <w:trPr>
          <w:trHeight w:val="277"/>
          <w:jc w:val="center"/>
        </w:trPr>
        <w:tc>
          <w:tcPr>
            <w:tcW w:w="1624" w:type="dxa"/>
            <w:gridSpan w:val="2"/>
          </w:tcPr>
          <w:p w14:paraId="4D96A6B8" w14:textId="77777777" w:rsidR="008472C0" w:rsidRPr="009B7685" w:rsidRDefault="4F2C0FBD" w:rsidP="4F2C0FBD">
            <w:pPr>
              <w:pStyle w:val="PargrafodaLista"/>
              <w:ind w:left="0"/>
              <w:rPr>
                <w:rFonts w:eastAsiaTheme="minorEastAsia"/>
              </w:rPr>
            </w:pPr>
            <w:r w:rsidRPr="4F2C0FBD">
              <w:rPr>
                <w:rFonts w:eastAsiaTheme="minorEastAsia"/>
              </w:rPr>
              <w:t>Impacto</w:t>
            </w:r>
          </w:p>
        </w:tc>
        <w:tc>
          <w:tcPr>
            <w:tcW w:w="7196" w:type="dxa"/>
            <w:gridSpan w:val="3"/>
          </w:tcPr>
          <w:p w14:paraId="2786CEEA" w14:textId="77777777" w:rsidR="008472C0" w:rsidRPr="009B7685" w:rsidRDefault="4F2C0FBD" w:rsidP="4F2C0FBD">
            <w:pPr>
              <w:pStyle w:val="PargrafodaLista"/>
              <w:ind w:left="0"/>
              <w:rPr>
                <w:rFonts w:eastAsiaTheme="minorEastAsia"/>
              </w:rPr>
            </w:pPr>
            <w:r w:rsidRPr="4F2C0FBD">
              <w:rPr>
                <w:rFonts w:eastAsiaTheme="minorEastAsia"/>
              </w:rPr>
              <w:t>(   ) Baixa                                  (   ) Média                                ( x) Alta</w:t>
            </w:r>
          </w:p>
        </w:tc>
      </w:tr>
      <w:tr w:rsidR="008472C0" w:rsidRPr="009B7685" w14:paraId="2D752612" w14:textId="77777777" w:rsidTr="4F2C0FBD">
        <w:trPr>
          <w:trHeight w:val="277"/>
          <w:jc w:val="center"/>
        </w:trPr>
        <w:tc>
          <w:tcPr>
            <w:tcW w:w="491" w:type="dxa"/>
          </w:tcPr>
          <w:p w14:paraId="584501C1" w14:textId="77777777" w:rsidR="008472C0" w:rsidRPr="009B7685" w:rsidRDefault="4F2C0FBD" w:rsidP="4F2C0FBD">
            <w:pPr>
              <w:pStyle w:val="PargrafodaLista"/>
              <w:ind w:left="0"/>
              <w:rPr>
                <w:rFonts w:eastAsiaTheme="minorEastAsia"/>
                <w:b/>
                <w:bCs/>
              </w:rPr>
            </w:pPr>
            <w:r w:rsidRPr="4F2C0FBD">
              <w:rPr>
                <w:rFonts w:eastAsiaTheme="minorEastAsia"/>
                <w:b/>
                <w:bCs/>
              </w:rPr>
              <w:t>Id.</w:t>
            </w:r>
          </w:p>
        </w:tc>
        <w:tc>
          <w:tcPr>
            <w:tcW w:w="8329" w:type="dxa"/>
            <w:gridSpan w:val="4"/>
          </w:tcPr>
          <w:p w14:paraId="6A612FD6" w14:textId="77777777" w:rsidR="008472C0" w:rsidRPr="009B7685" w:rsidRDefault="4F2C0FBD" w:rsidP="4F2C0FBD">
            <w:pPr>
              <w:pStyle w:val="PargrafodaLista"/>
              <w:ind w:left="0"/>
              <w:rPr>
                <w:rFonts w:eastAsiaTheme="minorEastAsia"/>
                <w:b/>
                <w:bCs/>
              </w:rPr>
            </w:pPr>
            <w:r w:rsidRPr="4F2C0FBD">
              <w:rPr>
                <w:rFonts w:eastAsiaTheme="minorEastAsia"/>
                <w:b/>
                <w:bCs/>
              </w:rPr>
              <w:t>Dano</w:t>
            </w:r>
          </w:p>
        </w:tc>
      </w:tr>
      <w:tr w:rsidR="008472C0" w:rsidRPr="009B7685" w14:paraId="3B42B75F" w14:textId="77777777" w:rsidTr="4F2C0FBD">
        <w:trPr>
          <w:trHeight w:val="277"/>
          <w:jc w:val="center"/>
        </w:trPr>
        <w:tc>
          <w:tcPr>
            <w:tcW w:w="491" w:type="dxa"/>
          </w:tcPr>
          <w:p w14:paraId="024247A6"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8329" w:type="dxa"/>
            <w:gridSpan w:val="4"/>
          </w:tcPr>
          <w:p w14:paraId="43C36D3E"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Equipamentos de armazenamento de dados sem serviço de garantia e suporte técnico.</w:t>
            </w:r>
          </w:p>
        </w:tc>
      </w:tr>
      <w:tr w:rsidR="008472C0" w:rsidRPr="009B7685" w14:paraId="48AA82A1" w14:textId="77777777" w:rsidTr="4F2C0FBD">
        <w:trPr>
          <w:trHeight w:val="277"/>
          <w:jc w:val="center"/>
        </w:trPr>
        <w:tc>
          <w:tcPr>
            <w:tcW w:w="491" w:type="dxa"/>
          </w:tcPr>
          <w:p w14:paraId="09818BCF"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8329" w:type="dxa"/>
            <w:gridSpan w:val="4"/>
          </w:tcPr>
          <w:p w14:paraId="49DD44F0" w14:textId="77777777" w:rsidR="008472C0" w:rsidRPr="009B7685" w:rsidRDefault="4F2C0FBD" w:rsidP="4F2C0FBD">
            <w:pPr>
              <w:pStyle w:val="PargrafodaLista"/>
              <w:ind w:left="0"/>
              <w:rPr>
                <w:rFonts w:eastAsiaTheme="minorEastAsia"/>
                <w:color w:val="000000" w:themeColor="text1"/>
              </w:rPr>
            </w:pPr>
            <w:r w:rsidRPr="4F2C0FBD">
              <w:rPr>
                <w:rFonts w:eastAsiaTheme="minorEastAsia"/>
                <w:color w:val="000000" w:themeColor="text1"/>
              </w:rPr>
              <w:t>Alto risco de sistemas críticos do PJMT cessarem funcionamento, em caso de falhas.</w:t>
            </w:r>
          </w:p>
        </w:tc>
      </w:tr>
      <w:tr w:rsidR="008472C0" w:rsidRPr="009B7685" w14:paraId="0755CE9C" w14:textId="77777777" w:rsidTr="4F2C0FBD">
        <w:trPr>
          <w:trHeight w:val="277"/>
          <w:jc w:val="center"/>
        </w:trPr>
        <w:tc>
          <w:tcPr>
            <w:tcW w:w="491" w:type="dxa"/>
          </w:tcPr>
          <w:p w14:paraId="5062335A" w14:textId="77777777" w:rsidR="008472C0" w:rsidRPr="009B7685" w:rsidRDefault="008472C0" w:rsidP="0069655B">
            <w:pPr>
              <w:pStyle w:val="PargrafodaLista"/>
              <w:ind w:left="0"/>
              <w:rPr>
                <w:rFonts w:cstheme="minorHAnsi"/>
              </w:rPr>
            </w:pPr>
          </w:p>
        </w:tc>
        <w:tc>
          <w:tcPr>
            <w:tcW w:w="6349" w:type="dxa"/>
            <w:gridSpan w:val="2"/>
          </w:tcPr>
          <w:p w14:paraId="6258EDDE" w14:textId="77777777" w:rsidR="008472C0" w:rsidRPr="009B7685" w:rsidRDefault="4F2C0FBD" w:rsidP="4F2C0FBD">
            <w:pPr>
              <w:pStyle w:val="PargrafodaLista"/>
              <w:ind w:left="0"/>
              <w:rPr>
                <w:rFonts w:eastAsiaTheme="minorEastAsia"/>
                <w:b/>
                <w:bCs/>
              </w:rPr>
            </w:pPr>
            <w:r w:rsidRPr="4F2C0FBD">
              <w:rPr>
                <w:rFonts w:eastAsiaTheme="minorEastAsia"/>
                <w:b/>
                <w:bCs/>
              </w:rPr>
              <w:t>Ação Preventiva</w:t>
            </w:r>
          </w:p>
        </w:tc>
        <w:tc>
          <w:tcPr>
            <w:tcW w:w="1980" w:type="dxa"/>
            <w:gridSpan w:val="2"/>
          </w:tcPr>
          <w:p w14:paraId="08AA4641"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0E58B34D" w14:textId="77777777" w:rsidTr="4F2C0FBD">
        <w:trPr>
          <w:trHeight w:val="277"/>
          <w:jc w:val="center"/>
        </w:trPr>
        <w:tc>
          <w:tcPr>
            <w:tcW w:w="491" w:type="dxa"/>
          </w:tcPr>
          <w:p w14:paraId="01E3E37C"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49" w:type="dxa"/>
            <w:gridSpan w:val="2"/>
            <w:vAlign w:val="center"/>
          </w:tcPr>
          <w:p w14:paraId="1E9AB0FD"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Estudo de mercado quanto à qualificação da empresa a ser contratada.</w:t>
            </w:r>
          </w:p>
        </w:tc>
        <w:tc>
          <w:tcPr>
            <w:tcW w:w="1980" w:type="dxa"/>
            <w:gridSpan w:val="2"/>
            <w:vAlign w:val="center"/>
          </w:tcPr>
          <w:p w14:paraId="2F84A272"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Equipe de Planejamento</w:t>
            </w:r>
          </w:p>
        </w:tc>
      </w:tr>
      <w:tr w:rsidR="008472C0" w:rsidRPr="009B7685" w14:paraId="5A5344A6" w14:textId="77777777" w:rsidTr="4F2C0FBD">
        <w:trPr>
          <w:trHeight w:val="670"/>
          <w:jc w:val="center"/>
        </w:trPr>
        <w:tc>
          <w:tcPr>
            <w:tcW w:w="491" w:type="dxa"/>
          </w:tcPr>
          <w:p w14:paraId="7BE35A2D"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6349" w:type="dxa"/>
            <w:gridSpan w:val="2"/>
            <w:vAlign w:val="center"/>
          </w:tcPr>
          <w:p w14:paraId="5C075BF1"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Exigir documentação fiscal e econômica que respalde a saúde financeira da empresa a ser contratada.</w:t>
            </w:r>
          </w:p>
        </w:tc>
        <w:tc>
          <w:tcPr>
            <w:tcW w:w="1980" w:type="dxa"/>
            <w:gridSpan w:val="2"/>
            <w:vAlign w:val="center"/>
          </w:tcPr>
          <w:p w14:paraId="215F2676" w14:textId="77777777" w:rsidR="008472C0" w:rsidRPr="009B7685" w:rsidRDefault="4F2C0FBD" w:rsidP="4F2C0FBD">
            <w:pPr>
              <w:pStyle w:val="PargrafodaLista"/>
              <w:ind w:left="0"/>
              <w:jc w:val="left"/>
              <w:rPr>
                <w:rFonts w:eastAsiaTheme="minorEastAsia"/>
              </w:rPr>
            </w:pPr>
            <w:r w:rsidRPr="4F2C0FBD">
              <w:rPr>
                <w:rFonts w:eastAsiaTheme="minorEastAsia"/>
                <w:color w:val="000000" w:themeColor="text1"/>
              </w:rPr>
              <w:t>Equipe de Planejamento.</w:t>
            </w:r>
          </w:p>
        </w:tc>
      </w:tr>
      <w:tr w:rsidR="008472C0" w:rsidRPr="009B7685" w14:paraId="51F62B8A" w14:textId="77777777" w:rsidTr="4F2C0FBD">
        <w:trPr>
          <w:trHeight w:val="277"/>
          <w:jc w:val="center"/>
        </w:trPr>
        <w:tc>
          <w:tcPr>
            <w:tcW w:w="491" w:type="dxa"/>
          </w:tcPr>
          <w:p w14:paraId="477D6E98" w14:textId="77777777" w:rsidR="008472C0" w:rsidRPr="009B7685" w:rsidRDefault="008472C0" w:rsidP="0069655B">
            <w:pPr>
              <w:pStyle w:val="PargrafodaLista"/>
              <w:ind w:left="0"/>
              <w:rPr>
                <w:rFonts w:cstheme="minorHAnsi"/>
              </w:rPr>
            </w:pPr>
          </w:p>
        </w:tc>
        <w:tc>
          <w:tcPr>
            <w:tcW w:w="6349" w:type="dxa"/>
            <w:gridSpan w:val="2"/>
          </w:tcPr>
          <w:p w14:paraId="32089257" w14:textId="77777777" w:rsidR="008472C0" w:rsidRPr="009B7685" w:rsidRDefault="4F2C0FBD" w:rsidP="4F2C0FBD">
            <w:pPr>
              <w:pStyle w:val="PargrafodaLista"/>
              <w:ind w:left="0"/>
              <w:rPr>
                <w:rFonts w:eastAsiaTheme="minorEastAsia"/>
                <w:b/>
                <w:bCs/>
              </w:rPr>
            </w:pPr>
            <w:r w:rsidRPr="4F2C0FBD">
              <w:rPr>
                <w:rFonts w:eastAsiaTheme="minorEastAsia"/>
                <w:b/>
                <w:bCs/>
              </w:rPr>
              <w:t>Ação de Contingência</w:t>
            </w:r>
          </w:p>
        </w:tc>
        <w:tc>
          <w:tcPr>
            <w:tcW w:w="1980" w:type="dxa"/>
            <w:gridSpan w:val="2"/>
          </w:tcPr>
          <w:p w14:paraId="0DE2D446"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2E15AEFB" w14:textId="77777777" w:rsidTr="4F2C0FBD">
        <w:trPr>
          <w:trHeight w:val="277"/>
          <w:jc w:val="center"/>
        </w:trPr>
        <w:tc>
          <w:tcPr>
            <w:tcW w:w="491" w:type="dxa"/>
            <w:vAlign w:val="center"/>
          </w:tcPr>
          <w:p w14:paraId="6BF12A1E"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49" w:type="dxa"/>
            <w:gridSpan w:val="2"/>
            <w:vAlign w:val="center"/>
          </w:tcPr>
          <w:p w14:paraId="1DE9AAB3" w14:textId="77777777" w:rsidR="008472C0" w:rsidRPr="009B7685" w:rsidRDefault="4F2C0FBD" w:rsidP="4F2C0FBD">
            <w:pPr>
              <w:rPr>
                <w:rFonts w:eastAsiaTheme="minorEastAsia"/>
              </w:rPr>
            </w:pPr>
            <w:r w:rsidRPr="4F2C0FBD">
              <w:rPr>
                <w:rFonts w:eastAsiaTheme="minorEastAsia"/>
              </w:rPr>
              <w:t xml:space="preserve">Fazer uso do valor retido como garantia contratual, para custos de uma nova contratação. </w:t>
            </w:r>
          </w:p>
        </w:tc>
        <w:tc>
          <w:tcPr>
            <w:tcW w:w="1980" w:type="dxa"/>
            <w:gridSpan w:val="2"/>
            <w:vAlign w:val="center"/>
          </w:tcPr>
          <w:p w14:paraId="28465ACA" w14:textId="77777777" w:rsidR="008472C0" w:rsidRPr="009B7685" w:rsidRDefault="4F2C0FBD" w:rsidP="4F2C0FBD">
            <w:pPr>
              <w:pStyle w:val="PargrafodaLista"/>
              <w:ind w:left="0"/>
              <w:rPr>
                <w:rFonts w:eastAsiaTheme="minorEastAsia"/>
              </w:rPr>
            </w:pPr>
            <w:r w:rsidRPr="4F2C0FBD">
              <w:rPr>
                <w:rFonts w:eastAsiaTheme="minorEastAsia"/>
                <w:color w:val="000000" w:themeColor="text1"/>
              </w:rPr>
              <w:t>Integrante Demandante.</w:t>
            </w:r>
          </w:p>
        </w:tc>
      </w:tr>
      <w:tr w:rsidR="008472C0" w:rsidRPr="009B7685" w14:paraId="4DD195AD" w14:textId="77777777" w:rsidTr="4F2C0FBD">
        <w:trPr>
          <w:trHeight w:val="277"/>
          <w:jc w:val="center"/>
        </w:trPr>
        <w:tc>
          <w:tcPr>
            <w:tcW w:w="491" w:type="dxa"/>
            <w:vAlign w:val="center"/>
          </w:tcPr>
          <w:p w14:paraId="10E6A47C"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6349" w:type="dxa"/>
            <w:gridSpan w:val="2"/>
            <w:vAlign w:val="center"/>
          </w:tcPr>
          <w:p w14:paraId="7B40DF97" w14:textId="77777777" w:rsidR="008472C0" w:rsidRPr="009B7685" w:rsidRDefault="4F2C0FBD" w:rsidP="4F2C0FBD">
            <w:pPr>
              <w:pStyle w:val="PargrafodaLista"/>
              <w:ind w:left="0"/>
              <w:rPr>
                <w:rFonts w:eastAsiaTheme="minorEastAsia"/>
              </w:rPr>
            </w:pPr>
            <w:r w:rsidRPr="4F2C0FBD">
              <w:rPr>
                <w:rFonts w:eastAsiaTheme="minorEastAsia"/>
              </w:rPr>
              <w:t xml:space="preserve">Aplicar todas as sanções previstas em contrato. </w:t>
            </w:r>
          </w:p>
        </w:tc>
        <w:tc>
          <w:tcPr>
            <w:tcW w:w="1980" w:type="dxa"/>
            <w:gridSpan w:val="2"/>
            <w:vAlign w:val="center"/>
          </w:tcPr>
          <w:p w14:paraId="02CEAD0E" w14:textId="77777777" w:rsidR="008472C0" w:rsidRPr="009B7685" w:rsidRDefault="4F2C0FBD" w:rsidP="4F2C0FBD">
            <w:pPr>
              <w:pStyle w:val="PargrafodaLista"/>
              <w:ind w:left="0"/>
              <w:rPr>
                <w:rFonts w:eastAsiaTheme="minorEastAsia"/>
                <w:color w:val="000000" w:themeColor="text1"/>
              </w:rPr>
            </w:pPr>
            <w:r w:rsidRPr="4F2C0FBD">
              <w:rPr>
                <w:rFonts w:eastAsiaTheme="minorEastAsia"/>
                <w:color w:val="000000" w:themeColor="text1"/>
              </w:rPr>
              <w:t>Integrante Demandante.</w:t>
            </w:r>
          </w:p>
        </w:tc>
      </w:tr>
      <w:tr w:rsidR="008472C0" w:rsidRPr="009B7685" w14:paraId="3D580B78" w14:textId="77777777" w:rsidTr="4F2C0FBD">
        <w:trPr>
          <w:trHeight w:val="277"/>
          <w:jc w:val="center"/>
        </w:trPr>
        <w:tc>
          <w:tcPr>
            <w:tcW w:w="491" w:type="dxa"/>
          </w:tcPr>
          <w:p w14:paraId="7C67F267" w14:textId="77777777" w:rsidR="008472C0" w:rsidRPr="009B7685" w:rsidRDefault="4F2C0FBD" w:rsidP="4F2C0FBD">
            <w:pPr>
              <w:pStyle w:val="PargrafodaLista"/>
              <w:ind w:left="0"/>
              <w:rPr>
                <w:rFonts w:eastAsiaTheme="minorEastAsia"/>
              </w:rPr>
            </w:pPr>
            <w:r w:rsidRPr="4F2C0FBD">
              <w:rPr>
                <w:rFonts w:eastAsiaTheme="minorEastAsia"/>
              </w:rPr>
              <w:t>3</w:t>
            </w:r>
          </w:p>
        </w:tc>
        <w:tc>
          <w:tcPr>
            <w:tcW w:w="6349" w:type="dxa"/>
            <w:gridSpan w:val="2"/>
          </w:tcPr>
          <w:p w14:paraId="3ACB411F" w14:textId="77777777" w:rsidR="008472C0" w:rsidRPr="009B7685" w:rsidRDefault="4F2C0FBD" w:rsidP="4F2C0FBD">
            <w:pPr>
              <w:pStyle w:val="PargrafodaLista"/>
              <w:ind w:left="0"/>
              <w:rPr>
                <w:rFonts w:eastAsiaTheme="minorEastAsia"/>
              </w:rPr>
            </w:pPr>
            <w:r w:rsidRPr="4F2C0FBD">
              <w:rPr>
                <w:rFonts w:eastAsiaTheme="minorEastAsia"/>
              </w:rPr>
              <w:t xml:space="preserve">Iniciar processo de contratação emergencial para contratação de nova empresa para prestação dos serviços. </w:t>
            </w:r>
          </w:p>
        </w:tc>
        <w:tc>
          <w:tcPr>
            <w:tcW w:w="1980" w:type="dxa"/>
            <w:gridSpan w:val="2"/>
          </w:tcPr>
          <w:p w14:paraId="228E04BA" w14:textId="77777777" w:rsidR="008472C0" w:rsidRPr="009B7685" w:rsidRDefault="4F2C0FBD" w:rsidP="4F2C0FBD">
            <w:pPr>
              <w:pStyle w:val="PargrafodaLista"/>
              <w:ind w:left="0"/>
              <w:rPr>
                <w:rFonts w:eastAsiaTheme="minorEastAsia"/>
                <w:color w:val="000000" w:themeColor="text1"/>
              </w:rPr>
            </w:pPr>
            <w:r w:rsidRPr="4F2C0FBD">
              <w:rPr>
                <w:rFonts w:eastAsiaTheme="minorEastAsia"/>
                <w:color w:val="000000" w:themeColor="text1"/>
              </w:rPr>
              <w:t>Integrante Demandante.</w:t>
            </w:r>
          </w:p>
        </w:tc>
      </w:tr>
    </w:tbl>
    <w:p w14:paraId="75BCC166" w14:textId="77777777" w:rsidR="008472C0" w:rsidRPr="009B7685" w:rsidRDefault="008472C0" w:rsidP="008472C0">
      <w:pPr>
        <w:pStyle w:val="Primeirorecuodecorpodetexto"/>
        <w:spacing w:after="120"/>
        <w:ind w:firstLine="1134"/>
        <w:rPr>
          <w:rFonts w:cstheme="minorHAnsi"/>
          <w:sz w:val="24"/>
          <w:szCs w:val="24"/>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472C0" w:rsidRPr="009B7685" w14:paraId="2E998644" w14:textId="77777777" w:rsidTr="4F2C0FBD">
        <w:trPr>
          <w:trHeight w:val="281"/>
          <w:jc w:val="center"/>
        </w:trPr>
        <w:tc>
          <w:tcPr>
            <w:tcW w:w="8820" w:type="dxa"/>
            <w:gridSpan w:val="5"/>
          </w:tcPr>
          <w:p w14:paraId="655458D8" w14:textId="77777777" w:rsidR="008472C0" w:rsidRPr="009B7685" w:rsidRDefault="4F2C0FBD" w:rsidP="4F2C0FBD">
            <w:pPr>
              <w:ind w:left="360"/>
              <w:jc w:val="center"/>
              <w:rPr>
                <w:rFonts w:eastAsiaTheme="minorEastAsia"/>
                <w:b/>
                <w:bCs/>
              </w:rPr>
            </w:pPr>
            <w:r w:rsidRPr="4F2C0FBD">
              <w:rPr>
                <w:rFonts w:eastAsiaTheme="minorEastAsia"/>
                <w:b/>
                <w:bCs/>
              </w:rPr>
              <w:t>REFERENTE À FASE</w:t>
            </w:r>
          </w:p>
          <w:p w14:paraId="6FE13ACC" w14:textId="77777777" w:rsidR="008472C0" w:rsidRPr="009B7685" w:rsidRDefault="4F2C0FBD" w:rsidP="4F2C0FBD">
            <w:pPr>
              <w:ind w:left="29"/>
              <w:jc w:val="center"/>
              <w:rPr>
                <w:rFonts w:eastAsiaTheme="minorEastAsia"/>
              </w:rPr>
            </w:pPr>
            <w:r w:rsidRPr="4F2C0FBD">
              <w:rPr>
                <w:rFonts w:eastAsiaTheme="minorEastAsia"/>
                <w:b/>
                <w:bCs/>
              </w:rPr>
              <w:t>(   ) Planejamento de Contratação e Seleção do Fornecedor  ( x ) Gestão do Contrato</w:t>
            </w:r>
          </w:p>
        </w:tc>
      </w:tr>
      <w:tr w:rsidR="008472C0" w:rsidRPr="009B7685" w14:paraId="79B6B452" w14:textId="77777777" w:rsidTr="4F2C0FBD">
        <w:trPr>
          <w:trHeight w:val="281"/>
          <w:jc w:val="center"/>
        </w:trPr>
        <w:tc>
          <w:tcPr>
            <w:tcW w:w="1624" w:type="dxa"/>
            <w:gridSpan w:val="2"/>
          </w:tcPr>
          <w:p w14:paraId="52C0B6BE" w14:textId="77777777" w:rsidR="008472C0" w:rsidRPr="009B7685" w:rsidRDefault="4F2C0FBD" w:rsidP="4F2C0FBD">
            <w:pPr>
              <w:jc w:val="both"/>
              <w:rPr>
                <w:rFonts w:eastAsiaTheme="minorEastAsia"/>
              </w:rPr>
            </w:pPr>
            <w:r w:rsidRPr="4F2C0FBD">
              <w:rPr>
                <w:rFonts w:eastAsiaTheme="minorEastAsia"/>
                <w:b/>
                <w:bCs/>
              </w:rPr>
              <w:t>Risco 05</w:t>
            </w:r>
          </w:p>
        </w:tc>
        <w:tc>
          <w:tcPr>
            <w:tcW w:w="5780" w:type="dxa"/>
            <w:gridSpan w:val="2"/>
          </w:tcPr>
          <w:p w14:paraId="462F8146" w14:textId="77777777" w:rsidR="008472C0" w:rsidRPr="009B7685" w:rsidRDefault="4F2C0FBD" w:rsidP="4F2C0FBD">
            <w:pPr>
              <w:pStyle w:val="PargrafodaLista"/>
              <w:ind w:left="0"/>
              <w:rPr>
                <w:rFonts w:eastAsiaTheme="minorEastAsia"/>
              </w:rPr>
            </w:pPr>
            <w:r w:rsidRPr="4F2C0FBD">
              <w:rPr>
                <w:rFonts w:eastAsiaTheme="minorEastAsia"/>
              </w:rPr>
              <w:t>Atraso na entrega dos equipamentos de armazenamento de dados.</w:t>
            </w:r>
          </w:p>
        </w:tc>
        <w:tc>
          <w:tcPr>
            <w:tcW w:w="1416" w:type="dxa"/>
            <w:shd w:val="clear" w:color="auto" w:fill="FFC000"/>
          </w:tcPr>
          <w:p w14:paraId="277F23A3" w14:textId="77777777" w:rsidR="008472C0" w:rsidRPr="009B7685" w:rsidRDefault="4F2C0FBD" w:rsidP="4F2C0FBD">
            <w:pPr>
              <w:pStyle w:val="PargrafodaLista"/>
              <w:ind w:left="0"/>
              <w:jc w:val="center"/>
              <w:rPr>
                <w:rFonts w:eastAsiaTheme="minorEastAsia"/>
              </w:rPr>
            </w:pPr>
            <w:r w:rsidRPr="4F2C0FBD">
              <w:rPr>
                <w:rFonts w:eastAsiaTheme="minorEastAsia"/>
              </w:rPr>
              <w:t>Grau do risco</w:t>
            </w:r>
          </w:p>
          <w:p w14:paraId="5386E973" w14:textId="77777777" w:rsidR="008472C0" w:rsidRPr="009B7685" w:rsidRDefault="4F2C0FBD" w:rsidP="4F2C0FBD">
            <w:pPr>
              <w:pStyle w:val="PargrafodaLista"/>
              <w:tabs>
                <w:tab w:val="center" w:pos="600"/>
              </w:tabs>
              <w:ind w:left="0"/>
              <w:jc w:val="center"/>
              <w:rPr>
                <w:rFonts w:eastAsiaTheme="minorEastAsia"/>
              </w:rPr>
            </w:pPr>
            <w:r w:rsidRPr="4F2C0FBD">
              <w:rPr>
                <w:rFonts w:eastAsiaTheme="minorEastAsia"/>
              </w:rPr>
              <w:t>(MÉDIO</w:t>
            </w:r>
            <w:r w:rsidRPr="4F2C0FBD">
              <w:rPr>
                <w:rFonts w:eastAsiaTheme="minorEastAsia"/>
                <w:color w:val="000000" w:themeColor="text1"/>
              </w:rPr>
              <w:t>)</w:t>
            </w:r>
          </w:p>
        </w:tc>
      </w:tr>
      <w:tr w:rsidR="008472C0" w:rsidRPr="009B7685" w14:paraId="1BBFBF79" w14:textId="77777777" w:rsidTr="4F2C0FBD">
        <w:trPr>
          <w:trHeight w:val="277"/>
          <w:jc w:val="center"/>
        </w:trPr>
        <w:tc>
          <w:tcPr>
            <w:tcW w:w="1624" w:type="dxa"/>
            <w:gridSpan w:val="2"/>
          </w:tcPr>
          <w:p w14:paraId="71309BEE" w14:textId="77777777" w:rsidR="008472C0" w:rsidRPr="009B7685" w:rsidRDefault="4F2C0FBD" w:rsidP="4F2C0FBD">
            <w:pPr>
              <w:pStyle w:val="PargrafodaLista"/>
              <w:ind w:left="0"/>
              <w:rPr>
                <w:rFonts w:eastAsiaTheme="minorEastAsia"/>
              </w:rPr>
            </w:pPr>
            <w:r w:rsidRPr="4F2C0FBD">
              <w:rPr>
                <w:rFonts w:eastAsiaTheme="minorEastAsia"/>
              </w:rPr>
              <w:t>Probabilidade</w:t>
            </w:r>
          </w:p>
        </w:tc>
        <w:tc>
          <w:tcPr>
            <w:tcW w:w="7196" w:type="dxa"/>
            <w:gridSpan w:val="3"/>
          </w:tcPr>
          <w:p w14:paraId="70DAFA43" w14:textId="77777777" w:rsidR="008472C0" w:rsidRPr="009B7685" w:rsidRDefault="4F2C0FBD" w:rsidP="4F2C0FBD">
            <w:pPr>
              <w:pStyle w:val="PargrafodaLista"/>
              <w:ind w:left="0"/>
              <w:rPr>
                <w:rFonts w:eastAsiaTheme="minorEastAsia"/>
              </w:rPr>
            </w:pPr>
            <w:r w:rsidRPr="4F2C0FBD">
              <w:rPr>
                <w:rFonts w:eastAsiaTheme="minorEastAsia"/>
              </w:rPr>
              <w:t>(   ) Baixa                                 ( x ) Média                                (   ) Alta</w:t>
            </w:r>
          </w:p>
        </w:tc>
      </w:tr>
      <w:tr w:rsidR="008472C0" w:rsidRPr="009B7685" w14:paraId="7E66FD87" w14:textId="77777777" w:rsidTr="4F2C0FBD">
        <w:trPr>
          <w:trHeight w:val="277"/>
          <w:jc w:val="center"/>
        </w:trPr>
        <w:tc>
          <w:tcPr>
            <w:tcW w:w="1624" w:type="dxa"/>
            <w:gridSpan w:val="2"/>
          </w:tcPr>
          <w:p w14:paraId="2621446C" w14:textId="77777777" w:rsidR="008472C0" w:rsidRPr="009B7685" w:rsidRDefault="4F2C0FBD" w:rsidP="4F2C0FBD">
            <w:pPr>
              <w:pStyle w:val="PargrafodaLista"/>
              <w:ind w:left="0"/>
              <w:rPr>
                <w:rFonts w:eastAsiaTheme="minorEastAsia"/>
              </w:rPr>
            </w:pPr>
            <w:r w:rsidRPr="4F2C0FBD">
              <w:rPr>
                <w:rFonts w:eastAsiaTheme="minorEastAsia"/>
              </w:rPr>
              <w:t>Impacto</w:t>
            </w:r>
          </w:p>
        </w:tc>
        <w:tc>
          <w:tcPr>
            <w:tcW w:w="7196" w:type="dxa"/>
            <w:gridSpan w:val="3"/>
          </w:tcPr>
          <w:p w14:paraId="654AB74D" w14:textId="77777777" w:rsidR="008472C0" w:rsidRPr="009B7685" w:rsidRDefault="4F2C0FBD" w:rsidP="4F2C0FBD">
            <w:pPr>
              <w:pStyle w:val="PargrafodaLista"/>
              <w:ind w:left="0"/>
              <w:rPr>
                <w:rFonts w:eastAsiaTheme="minorEastAsia"/>
              </w:rPr>
            </w:pPr>
            <w:r w:rsidRPr="4F2C0FBD">
              <w:rPr>
                <w:rFonts w:eastAsiaTheme="minorEastAsia"/>
              </w:rPr>
              <w:t>(   ) Baixa                                 (  x ) Média                                 ( ) Alta</w:t>
            </w:r>
          </w:p>
        </w:tc>
      </w:tr>
      <w:tr w:rsidR="008472C0" w:rsidRPr="009B7685" w14:paraId="59EA88CC" w14:textId="77777777" w:rsidTr="4F2C0FBD">
        <w:trPr>
          <w:trHeight w:val="277"/>
          <w:jc w:val="center"/>
        </w:trPr>
        <w:tc>
          <w:tcPr>
            <w:tcW w:w="491" w:type="dxa"/>
          </w:tcPr>
          <w:p w14:paraId="50192E36" w14:textId="77777777" w:rsidR="008472C0" w:rsidRPr="009B7685" w:rsidRDefault="4F2C0FBD" w:rsidP="4F2C0FBD">
            <w:pPr>
              <w:pStyle w:val="PargrafodaLista"/>
              <w:ind w:left="0"/>
              <w:rPr>
                <w:rFonts w:eastAsiaTheme="minorEastAsia"/>
                <w:b/>
                <w:bCs/>
              </w:rPr>
            </w:pPr>
            <w:r w:rsidRPr="4F2C0FBD">
              <w:rPr>
                <w:rFonts w:eastAsiaTheme="minorEastAsia"/>
                <w:b/>
                <w:bCs/>
              </w:rPr>
              <w:t>Id.</w:t>
            </w:r>
          </w:p>
        </w:tc>
        <w:tc>
          <w:tcPr>
            <w:tcW w:w="8329" w:type="dxa"/>
            <w:gridSpan w:val="4"/>
          </w:tcPr>
          <w:p w14:paraId="710EA55B" w14:textId="77777777" w:rsidR="008472C0" w:rsidRPr="009B7685" w:rsidRDefault="4F2C0FBD" w:rsidP="4F2C0FBD">
            <w:pPr>
              <w:pStyle w:val="PargrafodaLista"/>
              <w:ind w:left="0"/>
              <w:rPr>
                <w:rFonts w:eastAsiaTheme="minorEastAsia"/>
                <w:b/>
                <w:bCs/>
              </w:rPr>
            </w:pPr>
            <w:r w:rsidRPr="4F2C0FBD">
              <w:rPr>
                <w:rFonts w:eastAsiaTheme="minorEastAsia"/>
                <w:b/>
                <w:bCs/>
              </w:rPr>
              <w:t>Dano</w:t>
            </w:r>
          </w:p>
        </w:tc>
      </w:tr>
      <w:tr w:rsidR="008472C0" w:rsidRPr="009B7685" w14:paraId="16C05DAB" w14:textId="77777777" w:rsidTr="4F2C0FBD">
        <w:trPr>
          <w:trHeight w:val="277"/>
          <w:jc w:val="center"/>
        </w:trPr>
        <w:tc>
          <w:tcPr>
            <w:tcW w:w="491" w:type="dxa"/>
          </w:tcPr>
          <w:p w14:paraId="158ED3F4"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8329" w:type="dxa"/>
            <w:gridSpan w:val="4"/>
          </w:tcPr>
          <w:p w14:paraId="2365E2F4" w14:textId="77777777" w:rsidR="008472C0" w:rsidRPr="009B7685" w:rsidRDefault="4F2C0FBD" w:rsidP="4F2C0FBD">
            <w:pPr>
              <w:pStyle w:val="PargrafodaLista"/>
              <w:ind w:left="0"/>
              <w:rPr>
                <w:rFonts w:eastAsiaTheme="minorEastAsia"/>
              </w:rPr>
            </w:pPr>
            <w:r w:rsidRPr="4F2C0FBD">
              <w:rPr>
                <w:rFonts w:eastAsiaTheme="minorEastAsia"/>
              </w:rPr>
              <w:t>Não entrega de nova solução de armazenamento de dados, permanecendo com capacidade limitada para demanda de crescimento apresentada.</w:t>
            </w:r>
          </w:p>
        </w:tc>
      </w:tr>
      <w:tr w:rsidR="008472C0" w:rsidRPr="009B7685" w14:paraId="143D0AED" w14:textId="77777777" w:rsidTr="4F2C0FBD">
        <w:trPr>
          <w:trHeight w:val="277"/>
          <w:jc w:val="center"/>
        </w:trPr>
        <w:tc>
          <w:tcPr>
            <w:tcW w:w="491" w:type="dxa"/>
          </w:tcPr>
          <w:p w14:paraId="6CD63758" w14:textId="77777777" w:rsidR="008472C0" w:rsidRPr="009B7685" w:rsidRDefault="008472C0" w:rsidP="0069655B">
            <w:pPr>
              <w:pStyle w:val="PargrafodaLista"/>
              <w:ind w:left="0"/>
              <w:rPr>
                <w:rFonts w:cstheme="minorHAnsi"/>
              </w:rPr>
            </w:pPr>
          </w:p>
        </w:tc>
        <w:tc>
          <w:tcPr>
            <w:tcW w:w="6349" w:type="dxa"/>
            <w:gridSpan w:val="2"/>
          </w:tcPr>
          <w:p w14:paraId="71161D15" w14:textId="77777777" w:rsidR="008472C0" w:rsidRPr="009B7685" w:rsidRDefault="4F2C0FBD" w:rsidP="4F2C0FBD">
            <w:pPr>
              <w:pStyle w:val="PargrafodaLista"/>
              <w:ind w:left="0"/>
              <w:rPr>
                <w:rFonts w:eastAsiaTheme="minorEastAsia"/>
                <w:b/>
                <w:bCs/>
              </w:rPr>
            </w:pPr>
            <w:r w:rsidRPr="4F2C0FBD">
              <w:rPr>
                <w:rFonts w:eastAsiaTheme="minorEastAsia"/>
                <w:b/>
                <w:bCs/>
              </w:rPr>
              <w:t>Ação Preventiva</w:t>
            </w:r>
          </w:p>
        </w:tc>
        <w:tc>
          <w:tcPr>
            <w:tcW w:w="1980" w:type="dxa"/>
            <w:gridSpan w:val="2"/>
          </w:tcPr>
          <w:p w14:paraId="7866A10B"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27034CFC" w14:textId="77777777" w:rsidTr="4F2C0FBD">
        <w:trPr>
          <w:trHeight w:val="302"/>
          <w:jc w:val="center"/>
        </w:trPr>
        <w:tc>
          <w:tcPr>
            <w:tcW w:w="491" w:type="dxa"/>
          </w:tcPr>
          <w:p w14:paraId="04D8D72E"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49" w:type="dxa"/>
            <w:gridSpan w:val="2"/>
          </w:tcPr>
          <w:p w14:paraId="0DC3B237" w14:textId="77777777" w:rsidR="008472C0" w:rsidRPr="009B7685" w:rsidRDefault="4F2C0FBD" w:rsidP="4F2C0FBD">
            <w:pPr>
              <w:pStyle w:val="PargrafodaLista"/>
              <w:ind w:left="0"/>
              <w:rPr>
                <w:rFonts w:eastAsiaTheme="minorEastAsia"/>
              </w:rPr>
            </w:pPr>
            <w:r w:rsidRPr="4F2C0FBD">
              <w:rPr>
                <w:rFonts w:eastAsiaTheme="minorEastAsia"/>
              </w:rPr>
              <w:t>Aprimorar o acompanhamento técnico das atividades previstas.</w:t>
            </w:r>
          </w:p>
        </w:tc>
        <w:tc>
          <w:tcPr>
            <w:tcW w:w="1980" w:type="dxa"/>
            <w:gridSpan w:val="2"/>
          </w:tcPr>
          <w:p w14:paraId="2798ABCB" w14:textId="77777777" w:rsidR="008472C0" w:rsidRPr="009B7685" w:rsidRDefault="4F2C0FBD" w:rsidP="4F2C0FBD">
            <w:pPr>
              <w:pStyle w:val="PargrafodaLista"/>
              <w:ind w:left="0"/>
              <w:jc w:val="left"/>
              <w:rPr>
                <w:rFonts w:eastAsiaTheme="minorEastAsia"/>
              </w:rPr>
            </w:pPr>
            <w:r w:rsidRPr="4F2C0FBD">
              <w:rPr>
                <w:rFonts w:eastAsiaTheme="minorEastAsia"/>
              </w:rPr>
              <w:t>Fiscal Técnico.</w:t>
            </w:r>
          </w:p>
        </w:tc>
      </w:tr>
      <w:tr w:rsidR="008472C0" w:rsidRPr="009B7685" w14:paraId="1D68C5ED" w14:textId="77777777" w:rsidTr="4F2C0FBD">
        <w:trPr>
          <w:trHeight w:val="324"/>
          <w:jc w:val="center"/>
        </w:trPr>
        <w:tc>
          <w:tcPr>
            <w:tcW w:w="491" w:type="dxa"/>
          </w:tcPr>
          <w:p w14:paraId="44AD28E7"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6349" w:type="dxa"/>
            <w:gridSpan w:val="2"/>
          </w:tcPr>
          <w:p w14:paraId="4206F917" w14:textId="77777777" w:rsidR="008472C0" w:rsidRPr="009B7685" w:rsidRDefault="4F2C0FBD" w:rsidP="4F2C0FBD">
            <w:pPr>
              <w:pStyle w:val="PargrafodaLista"/>
              <w:ind w:left="0"/>
              <w:rPr>
                <w:rFonts w:eastAsiaTheme="minorEastAsia"/>
              </w:rPr>
            </w:pPr>
            <w:r w:rsidRPr="4F2C0FBD">
              <w:rPr>
                <w:rFonts w:eastAsiaTheme="minorEastAsia"/>
              </w:rPr>
              <w:t>Estipular prazos exequíveis de entrega no processo de contratação.</w:t>
            </w:r>
          </w:p>
        </w:tc>
        <w:tc>
          <w:tcPr>
            <w:tcW w:w="1980" w:type="dxa"/>
            <w:gridSpan w:val="2"/>
          </w:tcPr>
          <w:p w14:paraId="208EB2A9" w14:textId="77777777" w:rsidR="008472C0" w:rsidRPr="009B7685" w:rsidRDefault="4F2C0FBD" w:rsidP="4F2C0FBD">
            <w:pPr>
              <w:pStyle w:val="PargrafodaLista"/>
              <w:ind w:left="0"/>
              <w:jc w:val="left"/>
              <w:rPr>
                <w:rFonts w:eastAsiaTheme="minorEastAsia"/>
              </w:rPr>
            </w:pPr>
            <w:r w:rsidRPr="4F2C0FBD">
              <w:rPr>
                <w:rFonts w:eastAsiaTheme="minorEastAsia"/>
              </w:rPr>
              <w:t>Equipe de Planejamento.</w:t>
            </w:r>
          </w:p>
        </w:tc>
      </w:tr>
      <w:tr w:rsidR="008472C0" w:rsidRPr="009B7685" w14:paraId="7BE2D471" w14:textId="77777777" w:rsidTr="4F2C0FBD">
        <w:trPr>
          <w:trHeight w:val="277"/>
          <w:jc w:val="center"/>
        </w:trPr>
        <w:tc>
          <w:tcPr>
            <w:tcW w:w="491" w:type="dxa"/>
          </w:tcPr>
          <w:p w14:paraId="577DE858" w14:textId="77777777" w:rsidR="008472C0" w:rsidRPr="009B7685" w:rsidRDefault="008472C0" w:rsidP="0069655B">
            <w:pPr>
              <w:pStyle w:val="PargrafodaLista"/>
              <w:ind w:left="0"/>
              <w:rPr>
                <w:rFonts w:cstheme="minorHAnsi"/>
              </w:rPr>
            </w:pPr>
          </w:p>
        </w:tc>
        <w:tc>
          <w:tcPr>
            <w:tcW w:w="6349" w:type="dxa"/>
            <w:gridSpan w:val="2"/>
          </w:tcPr>
          <w:p w14:paraId="14474A3E" w14:textId="77777777" w:rsidR="008472C0" w:rsidRPr="009B7685" w:rsidRDefault="4F2C0FBD" w:rsidP="4F2C0FBD">
            <w:pPr>
              <w:pStyle w:val="PargrafodaLista"/>
              <w:ind w:left="0"/>
              <w:rPr>
                <w:rFonts w:eastAsiaTheme="minorEastAsia"/>
                <w:b/>
                <w:bCs/>
              </w:rPr>
            </w:pPr>
            <w:r w:rsidRPr="4F2C0FBD">
              <w:rPr>
                <w:rFonts w:eastAsiaTheme="minorEastAsia"/>
                <w:b/>
                <w:bCs/>
              </w:rPr>
              <w:t>Ação de Contingência</w:t>
            </w:r>
          </w:p>
        </w:tc>
        <w:tc>
          <w:tcPr>
            <w:tcW w:w="1980" w:type="dxa"/>
            <w:gridSpan w:val="2"/>
          </w:tcPr>
          <w:p w14:paraId="0DF7F0F0" w14:textId="77777777" w:rsidR="008472C0" w:rsidRPr="009B7685" w:rsidRDefault="4F2C0FBD" w:rsidP="4F2C0FBD">
            <w:pPr>
              <w:pStyle w:val="PargrafodaLista"/>
              <w:ind w:left="0"/>
              <w:rPr>
                <w:rFonts w:eastAsiaTheme="minorEastAsia"/>
                <w:b/>
                <w:bCs/>
              </w:rPr>
            </w:pPr>
            <w:r w:rsidRPr="4F2C0FBD">
              <w:rPr>
                <w:rFonts w:eastAsiaTheme="minorEastAsia"/>
                <w:b/>
                <w:bCs/>
              </w:rPr>
              <w:t>Responsável</w:t>
            </w:r>
          </w:p>
        </w:tc>
      </w:tr>
      <w:tr w:rsidR="008472C0" w:rsidRPr="009B7685" w14:paraId="6CE3CFC0" w14:textId="77777777" w:rsidTr="4F2C0FBD">
        <w:trPr>
          <w:trHeight w:val="277"/>
          <w:jc w:val="center"/>
        </w:trPr>
        <w:tc>
          <w:tcPr>
            <w:tcW w:w="491" w:type="dxa"/>
          </w:tcPr>
          <w:p w14:paraId="47FCE82A" w14:textId="77777777" w:rsidR="008472C0" w:rsidRPr="009B7685" w:rsidRDefault="4F2C0FBD" w:rsidP="4F2C0FBD">
            <w:pPr>
              <w:pStyle w:val="PargrafodaLista"/>
              <w:ind w:left="0"/>
              <w:rPr>
                <w:rFonts w:eastAsiaTheme="minorEastAsia"/>
              </w:rPr>
            </w:pPr>
            <w:r w:rsidRPr="4F2C0FBD">
              <w:rPr>
                <w:rFonts w:eastAsiaTheme="minorEastAsia"/>
              </w:rPr>
              <w:t>1</w:t>
            </w:r>
          </w:p>
        </w:tc>
        <w:tc>
          <w:tcPr>
            <w:tcW w:w="6349" w:type="dxa"/>
            <w:gridSpan w:val="2"/>
          </w:tcPr>
          <w:p w14:paraId="4C636980" w14:textId="77777777" w:rsidR="008472C0" w:rsidRPr="009B7685" w:rsidRDefault="4F2C0FBD" w:rsidP="4F2C0FBD">
            <w:pPr>
              <w:pStyle w:val="PargrafodaLista"/>
              <w:ind w:left="0"/>
              <w:rPr>
                <w:rFonts w:eastAsiaTheme="minorEastAsia"/>
              </w:rPr>
            </w:pPr>
            <w:r w:rsidRPr="4F2C0FBD">
              <w:rPr>
                <w:rFonts w:eastAsiaTheme="minorEastAsia"/>
              </w:rPr>
              <w:t xml:space="preserve">Aplicação de penalidades previstas no contrato. </w:t>
            </w:r>
          </w:p>
        </w:tc>
        <w:tc>
          <w:tcPr>
            <w:tcW w:w="1980" w:type="dxa"/>
            <w:gridSpan w:val="2"/>
          </w:tcPr>
          <w:p w14:paraId="1CD32FF7" w14:textId="77777777" w:rsidR="008472C0" w:rsidRPr="009B7685" w:rsidRDefault="4F2C0FBD" w:rsidP="4F2C0FBD">
            <w:pPr>
              <w:pStyle w:val="PargrafodaLista"/>
              <w:ind w:left="0"/>
              <w:rPr>
                <w:rFonts w:eastAsiaTheme="minorEastAsia"/>
              </w:rPr>
            </w:pPr>
            <w:r w:rsidRPr="4F2C0FBD">
              <w:rPr>
                <w:rFonts w:eastAsiaTheme="minorEastAsia"/>
              </w:rPr>
              <w:t xml:space="preserve">Integrante Demandante </w:t>
            </w:r>
          </w:p>
        </w:tc>
      </w:tr>
      <w:tr w:rsidR="008472C0" w:rsidRPr="009B7685" w14:paraId="7048D824" w14:textId="77777777" w:rsidTr="4F2C0FBD">
        <w:trPr>
          <w:trHeight w:val="277"/>
          <w:jc w:val="center"/>
        </w:trPr>
        <w:tc>
          <w:tcPr>
            <w:tcW w:w="491" w:type="dxa"/>
            <w:vAlign w:val="center"/>
          </w:tcPr>
          <w:p w14:paraId="7AA5DB5A" w14:textId="77777777" w:rsidR="008472C0" w:rsidRPr="009B7685" w:rsidRDefault="4F2C0FBD" w:rsidP="4F2C0FBD">
            <w:pPr>
              <w:pStyle w:val="PargrafodaLista"/>
              <w:ind w:left="0"/>
              <w:rPr>
                <w:rFonts w:eastAsiaTheme="minorEastAsia"/>
              </w:rPr>
            </w:pPr>
            <w:r w:rsidRPr="4F2C0FBD">
              <w:rPr>
                <w:rFonts w:eastAsiaTheme="minorEastAsia"/>
              </w:rPr>
              <w:t>2</w:t>
            </w:r>
          </w:p>
        </w:tc>
        <w:tc>
          <w:tcPr>
            <w:tcW w:w="6349" w:type="dxa"/>
            <w:gridSpan w:val="2"/>
            <w:vAlign w:val="center"/>
          </w:tcPr>
          <w:p w14:paraId="47DD0D65" w14:textId="77777777" w:rsidR="008472C0" w:rsidRPr="009B7685" w:rsidRDefault="4F2C0FBD" w:rsidP="4F2C0FBD">
            <w:pPr>
              <w:pStyle w:val="PargrafodaLista"/>
              <w:ind w:left="0"/>
              <w:rPr>
                <w:rFonts w:eastAsiaTheme="minorEastAsia"/>
              </w:rPr>
            </w:pPr>
            <w:r w:rsidRPr="4F2C0FBD">
              <w:rPr>
                <w:rFonts w:eastAsiaTheme="minorEastAsia"/>
              </w:rPr>
              <w:t>Utilizar capacidade dos Storages VSP para armazenamento de dados, caso necessário, ainda que com prazo de suporte técnico e garantia expirados.</w:t>
            </w:r>
          </w:p>
        </w:tc>
        <w:tc>
          <w:tcPr>
            <w:tcW w:w="1980" w:type="dxa"/>
            <w:gridSpan w:val="2"/>
            <w:vAlign w:val="center"/>
          </w:tcPr>
          <w:p w14:paraId="0657C5B8" w14:textId="77777777" w:rsidR="008472C0" w:rsidRPr="009B7685" w:rsidRDefault="4F2C0FBD" w:rsidP="4F2C0FBD">
            <w:pPr>
              <w:pStyle w:val="PargrafodaLista"/>
              <w:ind w:left="0"/>
              <w:rPr>
                <w:rFonts w:eastAsiaTheme="minorEastAsia"/>
              </w:rPr>
            </w:pPr>
            <w:r w:rsidRPr="4F2C0FBD">
              <w:rPr>
                <w:rFonts w:eastAsiaTheme="minorEastAsia"/>
              </w:rPr>
              <w:t>Integrante Demandante</w:t>
            </w:r>
          </w:p>
        </w:tc>
      </w:tr>
    </w:tbl>
    <w:p w14:paraId="3598D50A" w14:textId="77777777" w:rsidR="008472C0" w:rsidRPr="009B7685" w:rsidRDefault="008472C0" w:rsidP="008472C0">
      <w:pPr>
        <w:rPr>
          <w:rFonts w:cstheme="minorHAnsi"/>
        </w:rPr>
      </w:pPr>
    </w:p>
    <w:p w14:paraId="4331B321" w14:textId="77777777" w:rsidR="008472C0" w:rsidRPr="009B7685" w:rsidRDefault="008472C0" w:rsidP="008472C0">
      <w:pPr>
        <w:spacing w:after="200"/>
        <w:rPr>
          <w:rFonts w:cstheme="minorHAnsi"/>
        </w:rPr>
      </w:pPr>
      <w:r w:rsidRPr="009B7685">
        <w:rPr>
          <w:rFonts w:cstheme="minorHAnsi"/>
        </w:rPr>
        <w:br w:type="page"/>
      </w:r>
    </w:p>
    <w:p w14:paraId="64B1D24D" w14:textId="77777777" w:rsidR="008472C0" w:rsidRPr="009B7685" w:rsidRDefault="008472C0" w:rsidP="4F2C0FBD">
      <w:pPr>
        <w:pStyle w:val="Ttulo1"/>
        <w:numPr>
          <w:ilvl w:val="0"/>
          <w:numId w:val="0"/>
        </w:numPr>
        <w:ind w:left="432"/>
        <w:rPr>
          <w:rFonts w:asciiTheme="minorHAnsi" w:eastAsiaTheme="minorEastAsia" w:hAnsiTheme="minorHAnsi" w:cstheme="minorBidi"/>
        </w:rPr>
      </w:pPr>
      <w:bookmarkStart w:id="86" w:name="_Toc489022683"/>
      <w:bookmarkStart w:id="87" w:name="_Toc489028338"/>
      <w:bookmarkStart w:id="88" w:name="_Toc489028817"/>
      <w:bookmarkStart w:id="89" w:name="_Ref489029308"/>
      <w:bookmarkStart w:id="90" w:name="_Ref489029369"/>
      <w:bookmarkStart w:id="91" w:name="_Ref507747575"/>
      <w:bookmarkStart w:id="92" w:name="_Toc534884834"/>
      <w:r w:rsidRPr="4F2C0FBD">
        <w:rPr>
          <w:rFonts w:asciiTheme="minorHAnsi" w:eastAsiaTheme="minorEastAsia" w:hAnsiTheme="minorHAnsi" w:cstheme="minorBidi"/>
        </w:rPr>
        <w:t>Anexo A</w:t>
      </w:r>
      <w:bookmarkEnd w:id="86"/>
      <w:bookmarkEnd w:id="87"/>
      <w:bookmarkEnd w:id="88"/>
      <w:bookmarkEnd w:id="89"/>
      <w:bookmarkEnd w:id="90"/>
      <w:bookmarkEnd w:id="91"/>
      <w:bookmarkEnd w:id="92"/>
    </w:p>
    <w:p w14:paraId="14DDC199" w14:textId="77777777" w:rsidR="008472C0" w:rsidRPr="009B7685" w:rsidRDefault="008472C0" w:rsidP="4F2C0FBD">
      <w:pPr>
        <w:pStyle w:val="Estilo6"/>
        <w:pBdr>
          <w:bottom w:val="single" w:sz="12" w:space="1" w:color="auto"/>
        </w:pBdr>
        <w:rPr>
          <w:rFonts w:asciiTheme="minorHAnsi" w:eastAsiaTheme="minorEastAsia" w:hAnsiTheme="minorHAnsi" w:cstheme="minorBidi"/>
        </w:rPr>
      </w:pPr>
      <w:bookmarkStart w:id="93" w:name="_Toc534884835"/>
      <w:r w:rsidRPr="4F2C0FBD">
        <w:rPr>
          <w:rFonts w:asciiTheme="minorHAnsi" w:eastAsiaTheme="minorEastAsia" w:hAnsiTheme="minorHAnsi" w:cstheme="minorBidi"/>
        </w:rPr>
        <w:t>Contratações Públicas Similares</w:t>
      </w:r>
      <w:bookmarkEnd w:id="93"/>
    </w:p>
    <w:sdt>
      <w:sdtPr>
        <w:rPr>
          <w:rFonts w:asciiTheme="minorHAnsi" w:hAnsiTheme="minorHAnsi" w:cstheme="minorHAnsi"/>
        </w:rPr>
        <w:alias w:val="Assunto"/>
        <w:tag w:val=""/>
        <w:id w:val="903263424"/>
        <w:dataBinding w:prefixMappings="xmlns:ns0='http://purl.org/dc/elements/1.1/' xmlns:ns1='http://schemas.openxmlformats.org/package/2006/metadata/core-properties' " w:xpath="/ns1:coreProperties[1]/ns0:subject[1]" w:storeItemID="{6C3C8BC8-F283-45AE-878A-BAB7291924A1}"/>
        <w:text/>
      </w:sdtPr>
      <w:sdtEndPr/>
      <w:sdtContent>
        <w:p w14:paraId="1A58B418" w14:textId="77777777" w:rsidR="008472C0" w:rsidRPr="009B7685" w:rsidRDefault="00DB26E8" w:rsidP="008472C0">
          <w:pPr>
            <w:pStyle w:val="Subttulo"/>
            <w:jc w:val="both"/>
            <w:rPr>
              <w:rFonts w:asciiTheme="minorHAnsi" w:hAnsiTheme="minorHAnsi" w:cstheme="minorHAnsi"/>
            </w:rPr>
          </w:pPr>
          <w:r>
            <w:rPr>
              <w:rFonts w:asciiTheme="minorHAnsi" w:hAnsiTheme="minorHAnsi" w:cstheme="minorHAnsi"/>
            </w:rPr>
            <w:t>Aquisição de Storage com suporte técnico e garantia</w:t>
          </w:r>
        </w:p>
      </w:sdtContent>
    </w:sdt>
    <w:p w14:paraId="5801C852" w14:textId="77777777" w:rsidR="008472C0" w:rsidRPr="009B7685" w:rsidRDefault="4F2C0FBD" w:rsidP="4F2C0FBD">
      <w:pPr>
        <w:pStyle w:val="Primeirorecuodecorpodetexto"/>
        <w:numPr>
          <w:ilvl w:val="0"/>
          <w:numId w:val="3"/>
        </w:numPr>
        <w:spacing w:after="120"/>
        <w:rPr>
          <w:rFonts w:eastAsiaTheme="minorEastAsia"/>
          <w:sz w:val="24"/>
          <w:szCs w:val="24"/>
        </w:rPr>
      </w:pPr>
      <w:r w:rsidRPr="4F2C0FBD">
        <w:rPr>
          <w:rFonts w:eastAsiaTheme="minorEastAsia"/>
          <w:sz w:val="24"/>
          <w:szCs w:val="24"/>
        </w:rPr>
        <w:t>STJ – Supremo Tribunal de Justiça;</w:t>
      </w:r>
    </w:p>
    <w:p w14:paraId="576ED631" w14:textId="77777777" w:rsidR="008472C0" w:rsidRPr="009B7685" w:rsidRDefault="008472C0" w:rsidP="008472C0">
      <w:pPr>
        <w:pStyle w:val="Primeirorecuodecorpodetexto"/>
        <w:spacing w:after="120"/>
        <w:ind w:firstLine="0"/>
        <w:rPr>
          <w:rFonts w:cstheme="minorHAnsi"/>
          <w:sz w:val="24"/>
          <w:szCs w:val="24"/>
        </w:rPr>
      </w:pPr>
      <w:r w:rsidRPr="009B7685">
        <w:rPr>
          <w:rFonts w:cstheme="minorHAnsi"/>
          <w:noProof/>
        </w:rPr>
        <w:drawing>
          <wp:inline distT="0" distB="0" distL="0" distR="0" wp14:anchorId="1BE5ADBB" wp14:editId="5546B061">
            <wp:extent cx="5038724" cy="6810374"/>
            <wp:effectExtent l="0" t="0" r="9525" b="9525"/>
            <wp:docPr id="16655577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038724" cy="6810374"/>
                    </a:xfrm>
                    <a:prstGeom prst="rect">
                      <a:avLst/>
                    </a:prstGeom>
                  </pic:spPr>
                </pic:pic>
              </a:graphicData>
            </a:graphic>
          </wp:inline>
        </w:drawing>
      </w:r>
    </w:p>
    <w:p w14:paraId="521BFEED" w14:textId="77777777" w:rsidR="008472C0" w:rsidRPr="009B7685" w:rsidRDefault="008472C0" w:rsidP="4F2C0FBD">
      <w:pPr>
        <w:pStyle w:val="PargrafodaLista"/>
        <w:numPr>
          <w:ilvl w:val="0"/>
          <w:numId w:val="3"/>
        </w:numPr>
        <w:spacing w:after="200"/>
        <w:rPr>
          <w:rFonts w:eastAsiaTheme="minorEastAsia"/>
          <w:sz w:val="24"/>
          <w:szCs w:val="24"/>
        </w:rPr>
      </w:pPr>
      <w:r w:rsidRPr="4F2C0FBD">
        <w:rPr>
          <w:rFonts w:eastAsiaTheme="minorEastAsia"/>
          <w:sz w:val="24"/>
          <w:szCs w:val="24"/>
        </w:rPr>
        <w:br w:type="page"/>
      </w:r>
      <w:r w:rsidR="4F2C0FBD" w:rsidRPr="4F2C0FBD">
        <w:rPr>
          <w:rFonts w:eastAsiaTheme="minorEastAsia"/>
          <w:sz w:val="24"/>
          <w:szCs w:val="24"/>
        </w:rPr>
        <w:t>TCU – Tribunal de Contas da União;</w:t>
      </w:r>
    </w:p>
    <w:p w14:paraId="170F9DDF" w14:textId="77777777" w:rsidR="008472C0" w:rsidRPr="009B7685" w:rsidRDefault="008472C0" w:rsidP="008472C0">
      <w:pPr>
        <w:pStyle w:val="PargrafodaLista"/>
        <w:rPr>
          <w:rFonts w:cstheme="minorHAnsi"/>
          <w:sz w:val="24"/>
          <w:szCs w:val="24"/>
        </w:rPr>
      </w:pPr>
    </w:p>
    <w:p w14:paraId="4D282A56" w14:textId="77777777" w:rsidR="008472C0" w:rsidRPr="009B7685" w:rsidRDefault="008472C0" w:rsidP="008472C0">
      <w:pPr>
        <w:pStyle w:val="PargrafodaLista"/>
        <w:spacing w:after="200"/>
        <w:ind w:left="360"/>
        <w:rPr>
          <w:rFonts w:cstheme="minorHAnsi"/>
          <w:sz w:val="24"/>
          <w:szCs w:val="24"/>
        </w:rPr>
      </w:pPr>
      <w:r w:rsidRPr="009B7685">
        <w:rPr>
          <w:rFonts w:cstheme="minorHAnsi"/>
          <w:noProof/>
        </w:rPr>
        <w:drawing>
          <wp:inline distT="0" distB="0" distL="0" distR="0" wp14:anchorId="13E96417" wp14:editId="7BB17A94">
            <wp:extent cx="5400040" cy="5166996"/>
            <wp:effectExtent l="0" t="0" r="0" b="0"/>
            <wp:docPr id="4523684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400040" cy="5166996"/>
                    </a:xfrm>
                    <a:prstGeom prst="rect">
                      <a:avLst/>
                    </a:prstGeom>
                  </pic:spPr>
                </pic:pic>
              </a:graphicData>
            </a:graphic>
          </wp:inline>
        </w:drawing>
      </w:r>
    </w:p>
    <w:p w14:paraId="18ECF32C" w14:textId="77777777" w:rsidR="008472C0" w:rsidRPr="009B7685" w:rsidRDefault="008472C0" w:rsidP="008472C0">
      <w:pPr>
        <w:pStyle w:val="PargrafodaLista"/>
        <w:spacing w:after="200"/>
        <w:ind w:left="360"/>
        <w:rPr>
          <w:rFonts w:cstheme="minorHAnsi"/>
          <w:sz w:val="24"/>
          <w:szCs w:val="24"/>
        </w:rPr>
      </w:pPr>
    </w:p>
    <w:p w14:paraId="55398EDD" w14:textId="77777777" w:rsidR="008472C0" w:rsidRPr="009B7685" w:rsidRDefault="008472C0" w:rsidP="008472C0">
      <w:pPr>
        <w:pStyle w:val="PargrafodaLista"/>
        <w:spacing w:after="200"/>
        <w:ind w:left="360"/>
        <w:rPr>
          <w:rFonts w:cstheme="minorHAnsi"/>
          <w:sz w:val="24"/>
          <w:szCs w:val="24"/>
        </w:rPr>
      </w:pPr>
    </w:p>
    <w:p w14:paraId="1C2A90C0" w14:textId="77777777" w:rsidR="008472C0" w:rsidRPr="009B7685" w:rsidRDefault="008472C0" w:rsidP="008472C0">
      <w:pPr>
        <w:pStyle w:val="PargrafodaLista"/>
        <w:spacing w:after="200"/>
        <w:ind w:left="360"/>
        <w:rPr>
          <w:rFonts w:cstheme="minorHAnsi"/>
          <w:sz w:val="24"/>
          <w:szCs w:val="24"/>
        </w:rPr>
      </w:pPr>
    </w:p>
    <w:p w14:paraId="27FFCEC6" w14:textId="77777777" w:rsidR="008472C0" w:rsidRPr="009B7685" w:rsidRDefault="008472C0" w:rsidP="008472C0">
      <w:pPr>
        <w:pStyle w:val="PargrafodaLista"/>
        <w:spacing w:after="200"/>
        <w:ind w:left="360"/>
        <w:rPr>
          <w:rFonts w:cstheme="minorHAnsi"/>
          <w:sz w:val="24"/>
          <w:szCs w:val="24"/>
        </w:rPr>
      </w:pPr>
    </w:p>
    <w:p w14:paraId="1BAC3E2D" w14:textId="77777777" w:rsidR="008472C0" w:rsidRPr="009B7685" w:rsidRDefault="008472C0" w:rsidP="008472C0">
      <w:pPr>
        <w:pStyle w:val="PargrafodaLista"/>
        <w:spacing w:after="200"/>
        <w:ind w:left="360"/>
        <w:rPr>
          <w:rFonts w:cstheme="minorHAnsi"/>
          <w:sz w:val="24"/>
          <w:szCs w:val="24"/>
        </w:rPr>
      </w:pPr>
    </w:p>
    <w:p w14:paraId="39D9F953" w14:textId="77777777" w:rsidR="008472C0" w:rsidRPr="009B7685" w:rsidRDefault="008472C0" w:rsidP="008472C0">
      <w:pPr>
        <w:pStyle w:val="PargrafodaLista"/>
        <w:spacing w:after="200"/>
        <w:ind w:left="360"/>
        <w:rPr>
          <w:rFonts w:cstheme="minorHAnsi"/>
          <w:sz w:val="24"/>
          <w:szCs w:val="24"/>
        </w:rPr>
      </w:pPr>
    </w:p>
    <w:p w14:paraId="7A3EA8BC" w14:textId="77777777" w:rsidR="008472C0" w:rsidRPr="009B7685" w:rsidRDefault="008472C0" w:rsidP="008472C0">
      <w:pPr>
        <w:pStyle w:val="PargrafodaLista"/>
        <w:spacing w:after="200"/>
        <w:ind w:left="360"/>
        <w:rPr>
          <w:rFonts w:cstheme="minorHAnsi"/>
          <w:sz w:val="24"/>
          <w:szCs w:val="24"/>
        </w:rPr>
      </w:pPr>
    </w:p>
    <w:p w14:paraId="50DC2E5B" w14:textId="77777777" w:rsidR="008472C0" w:rsidRPr="009B7685" w:rsidRDefault="008472C0" w:rsidP="008472C0">
      <w:pPr>
        <w:pStyle w:val="PargrafodaLista"/>
        <w:spacing w:after="200"/>
        <w:ind w:left="360"/>
        <w:rPr>
          <w:rFonts w:cstheme="minorHAnsi"/>
          <w:sz w:val="24"/>
          <w:szCs w:val="24"/>
        </w:rPr>
      </w:pPr>
    </w:p>
    <w:p w14:paraId="29EB2EDA" w14:textId="77777777" w:rsidR="008472C0" w:rsidRPr="009B7685" w:rsidRDefault="008472C0" w:rsidP="008472C0">
      <w:pPr>
        <w:pStyle w:val="PargrafodaLista"/>
        <w:spacing w:after="200"/>
        <w:ind w:left="360"/>
        <w:rPr>
          <w:rFonts w:cstheme="minorHAnsi"/>
          <w:sz w:val="24"/>
          <w:szCs w:val="24"/>
        </w:rPr>
      </w:pPr>
    </w:p>
    <w:p w14:paraId="3E713A36" w14:textId="77777777" w:rsidR="008472C0" w:rsidRPr="009B7685" w:rsidRDefault="008472C0" w:rsidP="008472C0">
      <w:pPr>
        <w:pStyle w:val="PargrafodaLista"/>
        <w:spacing w:after="200"/>
        <w:ind w:left="360"/>
        <w:rPr>
          <w:rFonts w:cstheme="minorHAnsi"/>
          <w:sz w:val="24"/>
          <w:szCs w:val="24"/>
        </w:rPr>
      </w:pPr>
    </w:p>
    <w:p w14:paraId="18D2FB5E" w14:textId="77777777" w:rsidR="008472C0" w:rsidRPr="009B7685" w:rsidRDefault="008472C0" w:rsidP="008472C0">
      <w:pPr>
        <w:pStyle w:val="PargrafodaLista"/>
        <w:spacing w:after="200"/>
        <w:ind w:left="360"/>
        <w:rPr>
          <w:rFonts w:cstheme="minorHAnsi"/>
          <w:sz w:val="24"/>
          <w:szCs w:val="24"/>
        </w:rPr>
      </w:pPr>
    </w:p>
    <w:p w14:paraId="7101FF24" w14:textId="77777777" w:rsidR="008472C0" w:rsidRPr="009B7685" w:rsidRDefault="008472C0" w:rsidP="008472C0">
      <w:pPr>
        <w:pStyle w:val="PargrafodaLista"/>
        <w:spacing w:after="200"/>
        <w:ind w:left="360"/>
        <w:rPr>
          <w:rFonts w:cstheme="minorHAnsi"/>
          <w:sz w:val="24"/>
          <w:szCs w:val="24"/>
        </w:rPr>
      </w:pPr>
    </w:p>
    <w:p w14:paraId="74A5F88B" w14:textId="77777777" w:rsidR="008472C0" w:rsidRPr="009B7685" w:rsidRDefault="008472C0" w:rsidP="008472C0">
      <w:pPr>
        <w:pStyle w:val="PargrafodaLista"/>
        <w:spacing w:after="200"/>
        <w:ind w:left="360"/>
        <w:rPr>
          <w:rFonts w:cstheme="minorHAnsi"/>
          <w:sz w:val="24"/>
          <w:szCs w:val="24"/>
        </w:rPr>
      </w:pPr>
    </w:p>
    <w:p w14:paraId="1E3CDF10" w14:textId="77777777" w:rsidR="008472C0" w:rsidRPr="009B7685" w:rsidRDefault="008472C0" w:rsidP="008472C0">
      <w:pPr>
        <w:pStyle w:val="PargrafodaLista"/>
        <w:spacing w:after="200"/>
        <w:ind w:left="360"/>
        <w:rPr>
          <w:rFonts w:cstheme="minorHAnsi"/>
          <w:sz w:val="24"/>
          <w:szCs w:val="24"/>
        </w:rPr>
      </w:pPr>
    </w:p>
    <w:p w14:paraId="20463850" w14:textId="77777777" w:rsidR="008472C0" w:rsidRPr="009B7685" w:rsidRDefault="008472C0" w:rsidP="008472C0">
      <w:pPr>
        <w:pStyle w:val="PargrafodaLista"/>
        <w:spacing w:after="200"/>
        <w:ind w:left="360"/>
        <w:rPr>
          <w:rFonts w:cstheme="minorHAnsi"/>
          <w:sz w:val="24"/>
          <w:szCs w:val="24"/>
        </w:rPr>
      </w:pPr>
    </w:p>
    <w:p w14:paraId="40EB2430" w14:textId="77777777" w:rsidR="008472C0" w:rsidRPr="009B7685" w:rsidRDefault="008472C0" w:rsidP="008472C0">
      <w:pPr>
        <w:pStyle w:val="PargrafodaLista"/>
        <w:rPr>
          <w:rFonts w:cstheme="minorHAnsi"/>
          <w:sz w:val="24"/>
          <w:szCs w:val="24"/>
        </w:rPr>
      </w:pPr>
    </w:p>
    <w:p w14:paraId="17D81816" w14:textId="77777777" w:rsidR="008472C0" w:rsidRPr="009B7685" w:rsidRDefault="4F2C0FBD" w:rsidP="4F2C0FBD">
      <w:pPr>
        <w:pStyle w:val="PargrafodaLista"/>
        <w:numPr>
          <w:ilvl w:val="0"/>
          <w:numId w:val="3"/>
        </w:numPr>
        <w:spacing w:after="200"/>
        <w:rPr>
          <w:rFonts w:eastAsiaTheme="minorEastAsia"/>
          <w:sz w:val="24"/>
          <w:szCs w:val="24"/>
        </w:rPr>
      </w:pPr>
      <w:r w:rsidRPr="4F2C0FBD">
        <w:rPr>
          <w:rFonts w:eastAsiaTheme="minorEastAsia"/>
          <w:sz w:val="24"/>
          <w:szCs w:val="24"/>
        </w:rPr>
        <w:t>Procuradoria-Geral de Justiça do Estado de Sergipe;</w:t>
      </w:r>
    </w:p>
    <w:p w14:paraId="5820C4E1" w14:textId="77777777" w:rsidR="008472C0" w:rsidRPr="009B7685" w:rsidRDefault="008472C0" w:rsidP="008472C0">
      <w:pPr>
        <w:spacing w:after="200"/>
        <w:rPr>
          <w:rFonts w:cstheme="minorHAnsi"/>
          <w:sz w:val="24"/>
          <w:szCs w:val="24"/>
        </w:rPr>
      </w:pPr>
      <w:r w:rsidRPr="009B7685">
        <w:rPr>
          <w:rFonts w:cstheme="minorHAnsi"/>
          <w:noProof/>
        </w:rPr>
        <w:drawing>
          <wp:inline distT="0" distB="0" distL="0" distR="0" wp14:anchorId="62B870C1" wp14:editId="58CA9904">
            <wp:extent cx="4533900" cy="6000750"/>
            <wp:effectExtent l="0" t="0" r="0" b="0"/>
            <wp:docPr id="9567197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4533900" cy="6000750"/>
                    </a:xfrm>
                    <a:prstGeom prst="rect">
                      <a:avLst/>
                    </a:prstGeom>
                  </pic:spPr>
                </pic:pic>
              </a:graphicData>
            </a:graphic>
          </wp:inline>
        </w:drawing>
      </w:r>
    </w:p>
    <w:p w14:paraId="7C2DD11D" w14:textId="77777777" w:rsidR="008472C0" w:rsidRPr="009B7685" w:rsidRDefault="008472C0" w:rsidP="008472C0">
      <w:pPr>
        <w:spacing w:after="200"/>
        <w:rPr>
          <w:rFonts w:cstheme="minorHAnsi"/>
          <w:sz w:val="24"/>
          <w:szCs w:val="24"/>
        </w:rPr>
      </w:pPr>
      <w:r w:rsidRPr="009B7685">
        <w:rPr>
          <w:rFonts w:cstheme="minorHAnsi"/>
          <w:noProof/>
        </w:rPr>
        <w:drawing>
          <wp:inline distT="0" distB="0" distL="0" distR="0" wp14:anchorId="6F5D26C9" wp14:editId="63A5E248">
            <wp:extent cx="4391025" cy="752475"/>
            <wp:effectExtent l="0" t="0" r="9525" b="9525"/>
            <wp:docPr id="13230702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4391025" cy="752475"/>
                    </a:xfrm>
                    <a:prstGeom prst="rect">
                      <a:avLst/>
                    </a:prstGeom>
                  </pic:spPr>
                </pic:pic>
              </a:graphicData>
            </a:graphic>
          </wp:inline>
        </w:drawing>
      </w:r>
    </w:p>
    <w:p w14:paraId="04BC3C86" w14:textId="77777777" w:rsidR="008472C0" w:rsidRPr="009B7685" w:rsidRDefault="008472C0" w:rsidP="008472C0">
      <w:pPr>
        <w:spacing w:after="200"/>
        <w:rPr>
          <w:rFonts w:cstheme="minorHAnsi"/>
          <w:sz w:val="24"/>
          <w:szCs w:val="24"/>
        </w:rPr>
      </w:pPr>
    </w:p>
    <w:p w14:paraId="446AA53D" w14:textId="77777777" w:rsidR="008472C0" w:rsidRPr="009B7685" w:rsidRDefault="008472C0" w:rsidP="008472C0">
      <w:pPr>
        <w:spacing w:after="200"/>
        <w:rPr>
          <w:rFonts w:cstheme="minorHAnsi"/>
          <w:sz w:val="24"/>
          <w:szCs w:val="24"/>
        </w:rPr>
      </w:pPr>
      <w:r w:rsidRPr="009B7685">
        <w:rPr>
          <w:rFonts w:cstheme="minorHAnsi"/>
          <w:sz w:val="24"/>
          <w:szCs w:val="24"/>
        </w:rPr>
        <w:br w:type="page"/>
      </w:r>
    </w:p>
    <w:p w14:paraId="4A51F6B7" w14:textId="77777777" w:rsidR="008472C0" w:rsidRPr="009B7685" w:rsidRDefault="008472C0" w:rsidP="4F2C0FBD">
      <w:pPr>
        <w:pStyle w:val="Ttulo1"/>
        <w:numPr>
          <w:ilvl w:val="0"/>
          <w:numId w:val="0"/>
        </w:numPr>
        <w:ind w:left="432"/>
        <w:rPr>
          <w:rFonts w:asciiTheme="minorHAnsi" w:eastAsiaTheme="minorEastAsia" w:hAnsiTheme="minorHAnsi" w:cstheme="minorBidi"/>
        </w:rPr>
      </w:pPr>
      <w:bookmarkStart w:id="94" w:name="_Toc534884836"/>
      <w:r w:rsidRPr="4F2C0FBD">
        <w:rPr>
          <w:rFonts w:asciiTheme="minorHAnsi" w:eastAsiaTheme="minorEastAsia" w:hAnsiTheme="minorHAnsi" w:cstheme="minorBidi"/>
        </w:rPr>
        <w:t>Anexo B</w:t>
      </w:r>
      <w:bookmarkEnd w:id="94"/>
    </w:p>
    <w:p w14:paraId="4572B75A" w14:textId="77777777" w:rsidR="008472C0" w:rsidRPr="009B7685" w:rsidRDefault="008472C0" w:rsidP="4F2C0FBD">
      <w:pPr>
        <w:pStyle w:val="Estilo6"/>
        <w:pBdr>
          <w:bottom w:val="single" w:sz="12" w:space="1" w:color="auto"/>
        </w:pBdr>
        <w:rPr>
          <w:rFonts w:asciiTheme="minorHAnsi" w:eastAsiaTheme="minorEastAsia" w:hAnsiTheme="minorHAnsi" w:cstheme="minorBidi"/>
        </w:rPr>
      </w:pPr>
      <w:bookmarkStart w:id="95" w:name="_Toc534884837"/>
      <w:r w:rsidRPr="4F2C0FBD">
        <w:rPr>
          <w:rFonts w:asciiTheme="minorHAnsi" w:eastAsiaTheme="minorEastAsia" w:hAnsiTheme="minorHAnsi" w:cstheme="minorBidi"/>
        </w:rPr>
        <w:t>Plano de Implantação</w:t>
      </w:r>
      <w:bookmarkEnd w:id="95"/>
    </w:p>
    <w:sdt>
      <w:sdtPr>
        <w:rPr>
          <w:rFonts w:asciiTheme="minorHAnsi" w:hAnsiTheme="minorHAnsi" w:cstheme="minorHAnsi"/>
        </w:rPr>
        <w:alias w:val="Assunto"/>
        <w:tag w:val=""/>
        <w:id w:val="-2089136896"/>
        <w:dataBinding w:prefixMappings="xmlns:ns0='http://purl.org/dc/elements/1.1/' xmlns:ns1='http://schemas.openxmlformats.org/package/2006/metadata/core-properties' " w:xpath="/ns1:coreProperties[1]/ns0:subject[1]" w:storeItemID="{6C3C8BC8-F283-45AE-878A-BAB7291924A1}"/>
        <w:text/>
      </w:sdtPr>
      <w:sdtEndPr/>
      <w:sdtContent>
        <w:p w14:paraId="5CF0CE9C" w14:textId="77777777" w:rsidR="008472C0" w:rsidRPr="009B7685" w:rsidRDefault="00DB26E8" w:rsidP="008472C0">
          <w:pPr>
            <w:pStyle w:val="Subttulo"/>
            <w:jc w:val="both"/>
            <w:rPr>
              <w:rFonts w:asciiTheme="minorHAnsi" w:hAnsiTheme="minorHAnsi" w:cstheme="minorHAnsi"/>
            </w:rPr>
          </w:pPr>
          <w:r>
            <w:rPr>
              <w:rFonts w:asciiTheme="minorHAnsi" w:hAnsiTheme="minorHAnsi" w:cstheme="minorHAnsi"/>
            </w:rPr>
            <w:t>Aquisição de Storage com suporte técnico e garantia</w:t>
          </w:r>
        </w:p>
      </w:sdtContent>
    </w:sdt>
    <w:p w14:paraId="1D332B7D" w14:textId="77777777" w:rsidR="008472C0" w:rsidRDefault="008472C0" w:rsidP="008472C0">
      <w:pPr>
        <w:ind w:firstLine="1134"/>
        <w:jc w:val="both"/>
        <w:rPr>
          <w:rFonts w:eastAsia="GothamHTF-Book" w:cstheme="minorHAnsi"/>
          <w:color w:val="FF0000"/>
        </w:rPr>
      </w:pPr>
    </w:p>
    <w:p w14:paraId="3BD49F18" w14:textId="5371556C" w:rsidR="009607FE" w:rsidRPr="009607FE" w:rsidRDefault="009607FE" w:rsidP="009607FE">
      <w:pPr>
        <w:ind w:firstLine="1134"/>
        <w:jc w:val="both"/>
        <w:rPr>
          <w:rFonts w:eastAsiaTheme="minorEastAsia" w:cstheme="minorHAnsi"/>
          <w:sz w:val="24"/>
          <w:szCs w:val="24"/>
        </w:rPr>
      </w:pPr>
      <w:r w:rsidRPr="009607FE">
        <w:rPr>
          <w:rFonts w:eastAsiaTheme="minorEastAsia" w:cstheme="minorHAnsi"/>
          <w:sz w:val="24"/>
          <w:szCs w:val="24"/>
        </w:rPr>
        <w:t>Vale ressaltar que o plano em questão prevê os passos necessários para a correta instalação do</w:t>
      </w:r>
      <w:r w:rsidR="00ED1A87">
        <w:rPr>
          <w:rFonts w:eastAsiaTheme="minorEastAsia" w:cstheme="minorHAnsi"/>
          <w:sz w:val="24"/>
          <w:szCs w:val="24"/>
        </w:rPr>
        <w:t>s equipamentos dos itens 1, 2 e 3</w:t>
      </w:r>
      <w:r w:rsidRPr="009607FE">
        <w:rPr>
          <w:rFonts w:eastAsiaTheme="minorEastAsia" w:cstheme="minorHAnsi"/>
          <w:sz w:val="24"/>
          <w:szCs w:val="24"/>
        </w:rPr>
        <w:t>, podendo haver necessidade de outras solicitações / adequações no decorrer do procedimento de instalação e configuração.</w:t>
      </w:r>
    </w:p>
    <w:p w14:paraId="66E81CF1" w14:textId="77777777" w:rsidR="009607FE" w:rsidRPr="009607FE" w:rsidRDefault="009607FE" w:rsidP="009607FE">
      <w:pPr>
        <w:ind w:firstLine="1134"/>
        <w:jc w:val="both"/>
        <w:rPr>
          <w:rFonts w:eastAsiaTheme="minorEastAsia" w:cstheme="minorHAnsi"/>
          <w:sz w:val="24"/>
          <w:szCs w:val="24"/>
        </w:rPr>
      </w:pPr>
      <w:r w:rsidRPr="009607FE">
        <w:rPr>
          <w:rFonts w:eastAsiaTheme="minorEastAsia" w:cstheme="minorHAnsi"/>
          <w:sz w:val="24"/>
          <w:szCs w:val="24"/>
        </w:rPr>
        <w:t xml:space="preserve">O plano de implantação deverá seguir os seguintes passos: </w:t>
      </w:r>
    </w:p>
    <w:p w14:paraId="71AB3B24"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 xml:space="preserve">Reunião de </w:t>
      </w:r>
      <w:r w:rsidRPr="009607FE">
        <w:rPr>
          <w:rFonts w:eastAsiaTheme="minorEastAsia" w:cstheme="minorHAnsi"/>
          <w:i/>
          <w:iCs/>
          <w:sz w:val="24"/>
          <w:szCs w:val="24"/>
        </w:rPr>
        <w:t>Kick-off</w:t>
      </w:r>
      <w:r w:rsidRPr="009607FE">
        <w:rPr>
          <w:rFonts w:eastAsiaTheme="minorEastAsia" w:cstheme="minorHAnsi"/>
          <w:sz w:val="24"/>
          <w:szCs w:val="24"/>
        </w:rPr>
        <w:t xml:space="preserve"> (alinhamento) para planejamento de entrega da solução - considerando o plano de implantação e cronograma - entre os Integrantes Técnicos e representante(s) da CONTRATADA, com ata.</w:t>
      </w:r>
    </w:p>
    <w:p w14:paraId="5108BC01"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Deverão participar da reunião, no mínimo, o Fiscal do Contrato e o Preposto da CONTRATADA;</w:t>
      </w:r>
    </w:p>
    <w:p w14:paraId="572149CE"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A Solução e todos os seus elementos deverão ser instalados e configurados segundo as melhores práticas do fabricante, em termos de desempenho, disponibilidade e segurança, por técnico certificado para este fim, e deverá estar apta e entregue pela CONTRATADA para entrar em ambiente de produção.</w:t>
      </w:r>
    </w:p>
    <w:p w14:paraId="33193CB4"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A reunião deverá ocorrer após o empenho do item 1 e antes da entrega dos equipamentos, em data e horário a ser agendada pelo fiscal técnico do contrato.</w:t>
      </w:r>
    </w:p>
    <w:p w14:paraId="6A3A8933"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 xml:space="preserve">Os equipamentos deverão ser entregues, instalados e configurados conforme agenda definida na reunião de </w:t>
      </w:r>
      <w:r w:rsidRPr="009607FE">
        <w:rPr>
          <w:rFonts w:eastAsiaTheme="minorEastAsia" w:cstheme="minorHAnsi"/>
          <w:i/>
          <w:iCs/>
          <w:sz w:val="24"/>
          <w:szCs w:val="24"/>
        </w:rPr>
        <w:t>kick-off</w:t>
      </w:r>
      <w:r w:rsidRPr="009607FE">
        <w:rPr>
          <w:rFonts w:eastAsiaTheme="minorEastAsia" w:cstheme="minorHAnsi"/>
          <w:sz w:val="24"/>
          <w:szCs w:val="24"/>
        </w:rPr>
        <w:t xml:space="preserve">. </w:t>
      </w:r>
    </w:p>
    <w:p w14:paraId="62AE5220" w14:textId="4783A443"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A CONTRATADA deverá realizar a retirada dos 04 (quatro) racks dos storages VSP (2 do TJMT e 2 do Fórum da Capital) de seus respectivos Datacenters, para posterior moving até o antigo Data Center do Fórum da Capital, e, em seguida, retirar os 04 (quatro) racks dos storages AMS 1000 que encontram-se no antigo Datacenter do Fórum da Capital, deslocando-os para o DMP.</w:t>
      </w:r>
    </w:p>
    <w:p w14:paraId="54918558"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Segue abaixo as informações necessárias para execução do Moving. Será permitida vistoria prévia das localidades para aferição de maiores detalhes.</w:t>
      </w:r>
    </w:p>
    <w:p w14:paraId="6DB55423"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Endereço de instalação atual dos storages VSP:</w:t>
      </w:r>
      <w:r w:rsidRPr="009607FE">
        <w:rPr>
          <w:rFonts w:eastAsiaTheme="minorEastAsia" w:cstheme="minorHAnsi"/>
          <w:color w:val="FF0000"/>
        </w:rPr>
        <w:t xml:space="preserve"> </w:t>
      </w:r>
    </w:p>
    <w:p w14:paraId="6069B461" w14:textId="77777777" w:rsidR="009607FE" w:rsidRPr="009607FE" w:rsidRDefault="009607FE" w:rsidP="009607FE">
      <w:pPr>
        <w:pStyle w:val="PargrafodaLista"/>
        <w:numPr>
          <w:ilvl w:val="0"/>
          <w:numId w:val="17"/>
        </w:numPr>
        <w:rPr>
          <w:rFonts w:eastAsiaTheme="minorEastAsia" w:cstheme="minorHAnsi"/>
          <w:sz w:val="24"/>
          <w:szCs w:val="24"/>
        </w:rPr>
      </w:pPr>
      <w:r w:rsidRPr="009607FE">
        <w:rPr>
          <w:rFonts w:eastAsiaTheme="minorEastAsia" w:cstheme="minorHAnsi"/>
          <w:sz w:val="24"/>
          <w:szCs w:val="24"/>
        </w:rPr>
        <w:t>Datacenter do Tribunal de Justiça - Centro Político Administrativo - Rua C, S/N - CEP 78049-926 - Cuiabá-MT;</w:t>
      </w:r>
    </w:p>
    <w:p w14:paraId="5239DC35" w14:textId="77777777" w:rsidR="009607FE" w:rsidRPr="009607FE" w:rsidRDefault="009607FE" w:rsidP="009607FE">
      <w:pPr>
        <w:pStyle w:val="PargrafodaLista"/>
        <w:numPr>
          <w:ilvl w:val="0"/>
          <w:numId w:val="17"/>
        </w:numPr>
        <w:rPr>
          <w:rFonts w:eastAsiaTheme="minorEastAsia" w:cstheme="minorHAnsi"/>
          <w:sz w:val="24"/>
          <w:szCs w:val="24"/>
        </w:rPr>
      </w:pPr>
      <w:r w:rsidRPr="009607FE">
        <w:rPr>
          <w:rFonts w:eastAsiaTheme="minorEastAsia" w:cstheme="minorHAnsi"/>
          <w:sz w:val="24"/>
          <w:szCs w:val="24"/>
        </w:rPr>
        <w:t>Datacenter do Fórum da Comarca de Cuiabá - Rua desembargador Milton Figueiredo, s/n, Setor D – Centro Político Administrativo – CEP: 78050-970 – Cuiabá-MT;</w:t>
      </w:r>
    </w:p>
    <w:p w14:paraId="10C1B779"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Endereço de destino dos storages VSP:</w:t>
      </w:r>
    </w:p>
    <w:p w14:paraId="72A844BE" w14:textId="77777777" w:rsidR="009607FE" w:rsidRPr="009607FE" w:rsidRDefault="009607FE" w:rsidP="009607FE">
      <w:pPr>
        <w:pStyle w:val="PargrafodaLista"/>
        <w:numPr>
          <w:ilvl w:val="0"/>
          <w:numId w:val="17"/>
        </w:numPr>
        <w:rPr>
          <w:rFonts w:eastAsiaTheme="minorEastAsia" w:cstheme="minorHAnsi"/>
          <w:sz w:val="24"/>
          <w:szCs w:val="24"/>
        </w:rPr>
      </w:pPr>
      <w:r w:rsidRPr="009607FE">
        <w:rPr>
          <w:rFonts w:eastAsiaTheme="minorEastAsia" w:cstheme="minorHAnsi"/>
          <w:sz w:val="24"/>
          <w:szCs w:val="24"/>
        </w:rPr>
        <w:t>Antigo Datacenter do Fórum da Comarca de Cuiabá - Rua desembargador Milton Figueiredo, s/n, Setor D – Centro Político Administrativo – CEP: 78050-970 – Cuiabá-MT;</w:t>
      </w:r>
    </w:p>
    <w:p w14:paraId="3C62182C"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Dimensões e Medidas dos Racks:</w:t>
      </w:r>
    </w:p>
    <w:p w14:paraId="1A46203C" w14:textId="77777777" w:rsidR="009607FE" w:rsidRPr="009607FE" w:rsidRDefault="009607FE" w:rsidP="009607FE">
      <w:pPr>
        <w:ind w:firstLine="709"/>
        <w:jc w:val="both"/>
        <w:rPr>
          <w:rFonts w:cstheme="minorHAnsi"/>
          <w:sz w:val="24"/>
          <w:szCs w:val="24"/>
        </w:rPr>
      </w:pPr>
    </w:p>
    <w:tbl>
      <w:tblPr>
        <w:tblW w:w="6080" w:type="dxa"/>
        <w:tblInd w:w="16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2678"/>
      </w:tblGrid>
      <w:tr w:rsidR="009607FE" w:rsidRPr="009607FE" w14:paraId="74043889" w14:textId="77777777" w:rsidTr="00BA2D18">
        <w:trPr>
          <w:trHeight w:val="300"/>
        </w:trPr>
        <w:tc>
          <w:tcPr>
            <w:tcW w:w="6080" w:type="dxa"/>
            <w:gridSpan w:val="2"/>
            <w:tcBorders>
              <w:top w:val="outset" w:sz="8" w:space="0" w:color="auto"/>
              <w:left w:val="outset" w:sz="8" w:space="0" w:color="auto"/>
              <w:bottom w:val="outset" w:sz="8" w:space="0" w:color="auto"/>
              <w:right w:val="single" w:sz="8" w:space="0" w:color="auto"/>
            </w:tcBorders>
            <w:tcMar>
              <w:top w:w="15" w:type="dxa"/>
              <w:left w:w="15" w:type="dxa"/>
              <w:bottom w:w="15" w:type="dxa"/>
              <w:right w:w="15" w:type="dxa"/>
            </w:tcMar>
            <w:vAlign w:val="center"/>
            <w:hideMark/>
          </w:tcPr>
          <w:p w14:paraId="0F4F65E2"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b/>
                <w:bCs/>
                <w:sz w:val="24"/>
                <w:szCs w:val="24"/>
              </w:rPr>
              <w:t>VSP - Rack 1 TJMT</w:t>
            </w:r>
          </w:p>
        </w:tc>
      </w:tr>
      <w:tr w:rsidR="009607FE" w:rsidRPr="009607FE" w14:paraId="04502D53" w14:textId="77777777" w:rsidTr="00BA2D18">
        <w:trPr>
          <w:trHeight w:val="300"/>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60F9CAC4"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AltxLargxProf (cm)</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69E4A9BA"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xml:space="preserve"> 2006x610x1100 </w:t>
            </w:r>
          </w:p>
        </w:tc>
      </w:tr>
      <w:tr w:rsidR="009607FE" w:rsidRPr="009607FE" w14:paraId="105D3401" w14:textId="77777777" w:rsidTr="00BA2D18">
        <w:trPr>
          <w:trHeight w:val="315"/>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12E77A15"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Peso (kg) aproximado</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5543428E"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644</w:t>
            </w:r>
          </w:p>
        </w:tc>
      </w:tr>
      <w:tr w:rsidR="009607FE" w:rsidRPr="009607FE" w14:paraId="4DB93A98" w14:textId="77777777" w:rsidTr="00BA2D18">
        <w:trPr>
          <w:trHeight w:val="300"/>
        </w:trPr>
        <w:tc>
          <w:tcPr>
            <w:tcW w:w="0" w:type="auto"/>
            <w:gridSpan w:val="2"/>
            <w:tcBorders>
              <w:top w:val="nil"/>
              <w:left w:val="outset" w:sz="8" w:space="0" w:color="auto"/>
              <w:bottom w:val="outset" w:sz="8" w:space="0" w:color="auto"/>
              <w:right w:val="single" w:sz="8" w:space="0" w:color="auto"/>
            </w:tcBorders>
            <w:tcMar>
              <w:top w:w="15" w:type="dxa"/>
              <w:left w:w="15" w:type="dxa"/>
              <w:bottom w:w="15" w:type="dxa"/>
              <w:right w:w="15" w:type="dxa"/>
            </w:tcMar>
            <w:vAlign w:val="center"/>
            <w:hideMark/>
          </w:tcPr>
          <w:p w14:paraId="62A0CBD9"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b/>
                <w:bCs/>
                <w:sz w:val="24"/>
                <w:szCs w:val="24"/>
              </w:rPr>
              <w:t>VSP - Rack 2 TJMT</w:t>
            </w:r>
          </w:p>
        </w:tc>
      </w:tr>
      <w:tr w:rsidR="009607FE" w:rsidRPr="009607FE" w14:paraId="77CE1E39" w14:textId="77777777" w:rsidTr="00BA2D18">
        <w:trPr>
          <w:trHeight w:val="300"/>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5609AF3C"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AltxLargxProf (cm)</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4C947EB7"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xml:space="preserve">  2006x610x1100 </w:t>
            </w:r>
          </w:p>
        </w:tc>
      </w:tr>
      <w:tr w:rsidR="009607FE" w:rsidRPr="009607FE" w14:paraId="3AAB4989" w14:textId="77777777" w:rsidTr="00BA2D18">
        <w:trPr>
          <w:trHeight w:val="315"/>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396A788E"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Peso (kg) aproximado</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449F9F33"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286</w:t>
            </w:r>
          </w:p>
        </w:tc>
      </w:tr>
      <w:tr w:rsidR="009607FE" w:rsidRPr="009607FE" w14:paraId="64AA5BC2" w14:textId="77777777" w:rsidTr="00BA2D18">
        <w:trPr>
          <w:trHeight w:val="300"/>
        </w:trPr>
        <w:tc>
          <w:tcPr>
            <w:tcW w:w="0" w:type="auto"/>
            <w:gridSpan w:val="2"/>
            <w:tcBorders>
              <w:top w:val="nil"/>
              <w:left w:val="outset" w:sz="8" w:space="0" w:color="auto"/>
              <w:bottom w:val="outset" w:sz="8" w:space="0" w:color="auto"/>
              <w:right w:val="single" w:sz="8" w:space="0" w:color="auto"/>
            </w:tcBorders>
            <w:tcMar>
              <w:top w:w="15" w:type="dxa"/>
              <w:left w:w="15" w:type="dxa"/>
              <w:bottom w:w="15" w:type="dxa"/>
              <w:right w:w="15" w:type="dxa"/>
            </w:tcMar>
            <w:vAlign w:val="center"/>
            <w:hideMark/>
          </w:tcPr>
          <w:p w14:paraId="5830D6B9"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b/>
                <w:bCs/>
                <w:sz w:val="24"/>
                <w:szCs w:val="24"/>
              </w:rPr>
              <w:t>VSP - Rack 1 Fórum</w:t>
            </w:r>
          </w:p>
        </w:tc>
      </w:tr>
      <w:tr w:rsidR="009607FE" w:rsidRPr="009607FE" w14:paraId="1156FDD5" w14:textId="77777777" w:rsidTr="00BA2D18">
        <w:trPr>
          <w:trHeight w:val="300"/>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68F1889"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AltxLargxProf (cm)</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6AAD31A9"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xml:space="preserve"> 2006x610x1100 </w:t>
            </w:r>
          </w:p>
        </w:tc>
      </w:tr>
      <w:tr w:rsidR="009607FE" w:rsidRPr="009607FE" w14:paraId="4E220881" w14:textId="77777777" w:rsidTr="00BA2D18">
        <w:trPr>
          <w:trHeight w:val="315"/>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51549B43"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Peso (kg) aproximado</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35D52CBC"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644</w:t>
            </w:r>
          </w:p>
        </w:tc>
      </w:tr>
      <w:tr w:rsidR="009607FE" w:rsidRPr="009607FE" w14:paraId="2E9A3A10" w14:textId="77777777" w:rsidTr="00BA2D18">
        <w:trPr>
          <w:trHeight w:val="300"/>
        </w:trPr>
        <w:tc>
          <w:tcPr>
            <w:tcW w:w="0" w:type="auto"/>
            <w:gridSpan w:val="2"/>
            <w:tcBorders>
              <w:top w:val="nil"/>
              <w:left w:val="outset" w:sz="8" w:space="0" w:color="auto"/>
              <w:bottom w:val="outset" w:sz="8" w:space="0" w:color="auto"/>
              <w:right w:val="single" w:sz="8" w:space="0" w:color="auto"/>
            </w:tcBorders>
            <w:tcMar>
              <w:top w:w="15" w:type="dxa"/>
              <w:left w:w="15" w:type="dxa"/>
              <w:bottom w:w="15" w:type="dxa"/>
              <w:right w:w="15" w:type="dxa"/>
            </w:tcMar>
            <w:vAlign w:val="center"/>
            <w:hideMark/>
          </w:tcPr>
          <w:p w14:paraId="0AAD1F66"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b/>
                <w:bCs/>
                <w:sz w:val="24"/>
                <w:szCs w:val="24"/>
              </w:rPr>
              <w:t>VSP - Rack 2 Fórum</w:t>
            </w:r>
          </w:p>
        </w:tc>
      </w:tr>
      <w:tr w:rsidR="009607FE" w:rsidRPr="009607FE" w14:paraId="0D27DA75" w14:textId="77777777" w:rsidTr="00BA2D18">
        <w:trPr>
          <w:trHeight w:val="300"/>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6DB23F84"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AltxLargxProf (cm)</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6A3BA4A2"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xml:space="preserve"> 2006x610x1100 </w:t>
            </w:r>
          </w:p>
        </w:tc>
      </w:tr>
      <w:tr w:rsidR="009607FE" w:rsidRPr="009607FE" w14:paraId="553EF140" w14:textId="77777777" w:rsidTr="00BA2D18">
        <w:trPr>
          <w:trHeight w:val="315"/>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CF47ACB"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Peso (kg) aproximado</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5A1791BD"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286</w:t>
            </w:r>
          </w:p>
        </w:tc>
      </w:tr>
    </w:tbl>
    <w:p w14:paraId="6ABA0C2C" w14:textId="77777777" w:rsidR="009607FE" w:rsidRPr="009607FE" w:rsidRDefault="009607FE" w:rsidP="009607FE">
      <w:pPr>
        <w:pStyle w:val="PargrafodaLista"/>
        <w:rPr>
          <w:rFonts w:cstheme="minorHAnsi"/>
          <w:sz w:val="24"/>
          <w:szCs w:val="24"/>
        </w:rPr>
      </w:pPr>
    </w:p>
    <w:p w14:paraId="7E71F1B6"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Endereço no qual encontram-se os storages AMS 1000:</w:t>
      </w:r>
    </w:p>
    <w:p w14:paraId="7452CB60" w14:textId="77777777" w:rsidR="009607FE" w:rsidRPr="009607FE" w:rsidRDefault="009607FE" w:rsidP="009607FE">
      <w:pPr>
        <w:pStyle w:val="PargrafodaLista"/>
        <w:numPr>
          <w:ilvl w:val="0"/>
          <w:numId w:val="17"/>
        </w:numPr>
        <w:rPr>
          <w:rFonts w:eastAsiaTheme="minorEastAsia" w:cstheme="minorHAnsi"/>
          <w:sz w:val="24"/>
          <w:szCs w:val="24"/>
        </w:rPr>
      </w:pPr>
      <w:r w:rsidRPr="009607FE">
        <w:rPr>
          <w:rFonts w:eastAsiaTheme="minorEastAsia" w:cstheme="minorHAnsi"/>
          <w:sz w:val="24"/>
          <w:szCs w:val="24"/>
        </w:rPr>
        <w:t>2 (dois) racks no Datacenter do Fórum da Comarca de Cuiabá - Rua desembargador Milton Figueiredo, s/n, Setor D – Centro Político Administrativo – CEP: 78050-970 – Cuiabá-MT;</w:t>
      </w:r>
    </w:p>
    <w:p w14:paraId="2751103F" w14:textId="77777777" w:rsidR="009607FE" w:rsidRPr="009607FE" w:rsidRDefault="009607FE" w:rsidP="009607FE">
      <w:pPr>
        <w:pStyle w:val="PargrafodaLista"/>
        <w:numPr>
          <w:ilvl w:val="0"/>
          <w:numId w:val="17"/>
        </w:numPr>
        <w:rPr>
          <w:rFonts w:eastAsiaTheme="minorEastAsia" w:cstheme="minorHAnsi"/>
          <w:sz w:val="24"/>
          <w:szCs w:val="24"/>
        </w:rPr>
      </w:pPr>
      <w:r w:rsidRPr="009607FE">
        <w:rPr>
          <w:rFonts w:eastAsiaTheme="minorEastAsia" w:cstheme="minorHAnsi"/>
          <w:sz w:val="24"/>
          <w:szCs w:val="24"/>
        </w:rPr>
        <w:t>2 (dois) racks no Antigo Datacenter do Fórum da Comarca de Cuiabá - Rua desembargador Milton Figueiredo, s/n, Setor D – Centro Político Administrativo – CEP: 78050-970 – Cuiabá-MT.</w:t>
      </w:r>
    </w:p>
    <w:p w14:paraId="6BE909CA"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Endereço de destino dos storages AMS 1000:</w:t>
      </w:r>
    </w:p>
    <w:p w14:paraId="66298078" w14:textId="77777777" w:rsidR="009607FE" w:rsidRPr="009607FE" w:rsidRDefault="009607FE" w:rsidP="009607FE">
      <w:pPr>
        <w:pStyle w:val="PargrafodaLista"/>
        <w:numPr>
          <w:ilvl w:val="0"/>
          <w:numId w:val="17"/>
        </w:numPr>
        <w:rPr>
          <w:rFonts w:eastAsiaTheme="minorEastAsia" w:cstheme="minorHAnsi"/>
          <w:sz w:val="24"/>
          <w:szCs w:val="24"/>
        </w:rPr>
      </w:pPr>
      <w:r w:rsidRPr="009607FE">
        <w:rPr>
          <w:rFonts w:eastAsiaTheme="minorEastAsia" w:cstheme="minorHAnsi"/>
          <w:sz w:val="24"/>
          <w:szCs w:val="24"/>
        </w:rPr>
        <w:t>Departamento de Material e Patrimônio - Avenida Fernando Correa da Costa, n. 6960, CEP 78080-535 – Cuiabá-MT. Telefone 65- 3675-0245;</w:t>
      </w:r>
    </w:p>
    <w:p w14:paraId="61325F9F"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Dimensões e Medidas dos Racks:</w:t>
      </w:r>
    </w:p>
    <w:p w14:paraId="648B4368" w14:textId="77777777" w:rsidR="009607FE" w:rsidRPr="009607FE" w:rsidRDefault="009607FE" w:rsidP="009607FE">
      <w:pPr>
        <w:ind w:firstLine="709"/>
        <w:jc w:val="both"/>
        <w:rPr>
          <w:rFonts w:cstheme="minorHAnsi"/>
          <w:sz w:val="24"/>
          <w:szCs w:val="24"/>
        </w:rPr>
      </w:pPr>
    </w:p>
    <w:tbl>
      <w:tblPr>
        <w:tblW w:w="6080" w:type="dxa"/>
        <w:tblInd w:w="161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0"/>
        <w:gridCol w:w="2630"/>
      </w:tblGrid>
      <w:tr w:rsidR="009607FE" w:rsidRPr="009607FE" w14:paraId="6DEF3A58" w14:textId="77777777" w:rsidTr="00BA2D18">
        <w:trPr>
          <w:trHeight w:val="300"/>
        </w:trPr>
        <w:tc>
          <w:tcPr>
            <w:tcW w:w="6080" w:type="dxa"/>
            <w:gridSpan w:val="2"/>
            <w:tcBorders>
              <w:top w:val="outset" w:sz="8" w:space="0" w:color="auto"/>
              <w:left w:val="outset" w:sz="8" w:space="0" w:color="auto"/>
              <w:bottom w:val="outset" w:sz="8" w:space="0" w:color="auto"/>
              <w:right w:val="single" w:sz="8" w:space="0" w:color="auto"/>
            </w:tcBorders>
            <w:tcMar>
              <w:top w:w="15" w:type="dxa"/>
              <w:left w:w="15" w:type="dxa"/>
              <w:bottom w:w="15" w:type="dxa"/>
              <w:right w:w="15" w:type="dxa"/>
            </w:tcMar>
            <w:vAlign w:val="center"/>
            <w:hideMark/>
          </w:tcPr>
          <w:p w14:paraId="4DA5D528"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b/>
                <w:bCs/>
                <w:sz w:val="24"/>
                <w:szCs w:val="24"/>
              </w:rPr>
              <w:t>AMS 1000 RACK 1</w:t>
            </w:r>
          </w:p>
        </w:tc>
      </w:tr>
      <w:tr w:rsidR="009607FE" w:rsidRPr="009607FE" w14:paraId="48DB84F6" w14:textId="77777777" w:rsidTr="00BA2D18">
        <w:trPr>
          <w:trHeight w:val="300"/>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0D9E2181"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AltxLargxProf (cm)</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06781C1F"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xml:space="preserve"> 2006x610x1100 </w:t>
            </w:r>
          </w:p>
        </w:tc>
      </w:tr>
      <w:tr w:rsidR="009607FE" w:rsidRPr="009607FE" w14:paraId="0FD66BE7" w14:textId="77777777" w:rsidTr="00BA2D18">
        <w:trPr>
          <w:trHeight w:val="315"/>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2888B7F2"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Peso (kg) aproximado</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hideMark/>
          </w:tcPr>
          <w:p w14:paraId="20058BF1"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644</w:t>
            </w:r>
          </w:p>
        </w:tc>
      </w:tr>
      <w:tr w:rsidR="009607FE" w:rsidRPr="009607FE" w14:paraId="14B96CB3" w14:textId="77777777" w:rsidTr="00BA2D18">
        <w:trPr>
          <w:trHeight w:val="300"/>
        </w:trPr>
        <w:tc>
          <w:tcPr>
            <w:tcW w:w="6080" w:type="dxa"/>
            <w:gridSpan w:val="2"/>
            <w:tcBorders>
              <w:top w:val="outset" w:sz="8" w:space="0" w:color="auto"/>
              <w:left w:val="outset" w:sz="8" w:space="0" w:color="auto"/>
              <w:bottom w:val="outset" w:sz="8" w:space="0" w:color="auto"/>
              <w:right w:val="single" w:sz="8" w:space="0" w:color="auto"/>
            </w:tcBorders>
            <w:tcMar>
              <w:top w:w="15" w:type="dxa"/>
              <w:left w:w="15" w:type="dxa"/>
              <w:bottom w:w="15" w:type="dxa"/>
              <w:right w:w="15" w:type="dxa"/>
            </w:tcMar>
            <w:vAlign w:val="center"/>
          </w:tcPr>
          <w:p w14:paraId="2FF63E1B"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b/>
                <w:bCs/>
                <w:sz w:val="24"/>
                <w:szCs w:val="24"/>
              </w:rPr>
              <w:t>AMS 1000 RACK 2</w:t>
            </w:r>
          </w:p>
        </w:tc>
      </w:tr>
      <w:tr w:rsidR="009607FE" w:rsidRPr="009607FE" w14:paraId="49E468AE" w14:textId="77777777" w:rsidTr="00BA2D18">
        <w:trPr>
          <w:trHeight w:val="300"/>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tcPr>
          <w:p w14:paraId="288BCF2B"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AltxLargxProf (cm)</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tcPr>
          <w:p w14:paraId="16976AAF"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xml:space="preserve"> 2006x610x1100 </w:t>
            </w:r>
          </w:p>
        </w:tc>
      </w:tr>
      <w:tr w:rsidR="009607FE" w:rsidRPr="009607FE" w14:paraId="49C5ED9E" w14:textId="77777777" w:rsidTr="00BA2D18">
        <w:trPr>
          <w:trHeight w:val="315"/>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tcPr>
          <w:p w14:paraId="5A90C263"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Peso (kg) aproximado</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tcPr>
          <w:p w14:paraId="7E7E2E5F"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644</w:t>
            </w:r>
          </w:p>
        </w:tc>
      </w:tr>
      <w:tr w:rsidR="009607FE" w:rsidRPr="009607FE" w14:paraId="4548F8DD" w14:textId="77777777" w:rsidTr="00BA2D18">
        <w:trPr>
          <w:trHeight w:val="300"/>
        </w:trPr>
        <w:tc>
          <w:tcPr>
            <w:tcW w:w="0" w:type="auto"/>
            <w:gridSpan w:val="2"/>
            <w:tcBorders>
              <w:top w:val="nil"/>
              <w:left w:val="outset" w:sz="8" w:space="0" w:color="auto"/>
              <w:bottom w:val="outset" w:sz="8" w:space="0" w:color="auto"/>
              <w:right w:val="single" w:sz="8" w:space="0" w:color="auto"/>
            </w:tcBorders>
            <w:tcMar>
              <w:top w:w="15" w:type="dxa"/>
              <w:left w:w="15" w:type="dxa"/>
              <w:bottom w:w="15" w:type="dxa"/>
              <w:right w:w="15" w:type="dxa"/>
            </w:tcMar>
            <w:vAlign w:val="center"/>
          </w:tcPr>
          <w:p w14:paraId="4939B105"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b/>
                <w:bCs/>
                <w:sz w:val="24"/>
                <w:szCs w:val="24"/>
              </w:rPr>
              <w:t>AMS 1000 RACK 3</w:t>
            </w:r>
          </w:p>
        </w:tc>
      </w:tr>
      <w:tr w:rsidR="009607FE" w:rsidRPr="009607FE" w14:paraId="42B51E27" w14:textId="77777777" w:rsidTr="00BA2D18">
        <w:trPr>
          <w:trHeight w:val="300"/>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tcPr>
          <w:p w14:paraId="1B800D48"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AltxLargxProf (cm)</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tcPr>
          <w:p w14:paraId="1A8A3237"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xml:space="preserve"> 2006x610x1100 </w:t>
            </w:r>
          </w:p>
        </w:tc>
      </w:tr>
      <w:tr w:rsidR="009607FE" w:rsidRPr="009607FE" w14:paraId="35547430" w14:textId="77777777" w:rsidTr="00BA2D18">
        <w:trPr>
          <w:trHeight w:val="315"/>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tcPr>
          <w:p w14:paraId="3952A485"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Peso (kg) aproximado</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tcPr>
          <w:p w14:paraId="327E60CD"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644</w:t>
            </w:r>
          </w:p>
        </w:tc>
      </w:tr>
      <w:tr w:rsidR="009607FE" w:rsidRPr="009607FE" w14:paraId="2C17B4F4" w14:textId="77777777" w:rsidTr="00BA2D18">
        <w:trPr>
          <w:trHeight w:val="300"/>
        </w:trPr>
        <w:tc>
          <w:tcPr>
            <w:tcW w:w="0" w:type="auto"/>
            <w:gridSpan w:val="2"/>
            <w:tcBorders>
              <w:top w:val="nil"/>
              <w:left w:val="outset" w:sz="8" w:space="0" w:color="auto"/>
              <w:bottom w:val="outset" w:sz="8" w:space="0" w:color="auto"/>
              <w:right w:val="single" w:sz="8" w:space="0" w:color="auto"/>
            </w:tcBorders>
            <w:tcMar>
              <w:top w:w="15" w:type="dxa"/>
              <w:left w:w="15" w:type="dxa"/>
              <w:bottom w:w="15" w:type="dxa"/>
              <w:right w:w="15" w:type="dxa"/>
            </w:tcMar>
            <w:vAlign w:val="center"/>
          </w:tcPr>
          <w:p w14:paraId="03FA1581"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b/>
                <w:bCs/>
                <w:sz w:val="24"/>
                <w:szCs w:val="24"/>
              </w:rPr>
              <w:t>AMS 1000 RACK 4</w:t>
            </w:r>
          </w:p>
        </w:tc>
      </w:tr>
      <w:tr w:rsidR="009607FE" w:rsidRPr="009607FE" w14:paraId="54D911BA" w14:textId="77777777" w:rsidTr="00BA2D18">
        <w:trPr>
          <w:trHeight w:val="300"/>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tcPr>
          <w:p w14:paraId="2485CC3C"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AltxLargxProf (cm)</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tcPr>
          <w:p w14:paraId="3BF8DA3C"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xml:space="preserve"> 2006x610x1100 </w:t>
            </w:r>
          </w:p>
        </w:tc>
      </w:tr>
      <w:tr w:rsidR="009607FE" w:rsidRPr="009607FE" w14:paraId="077C99B0" w14:textId="77777777" w:rsidTr="00BA2D18">
        <w:trPr>
          <w:trHeight w:val="315"/>
        </w:trPr>
        <w:tc>
          <w:tcPr>
            <w:tcW w:w="0" w:type="auto"/>
            <w:tcBorders>
              <w:top w:val="nil"/>
              <w:left w:val="outset" w:sz="8" w:space="0" w:color="auto"/>
              <w:bottom w:val="outset" w:sz="8" w:space="0" w:color="auto"/>
              <w:right w:val="outset" w:sz="8" w:space="0" w:color="auto"/>
            </w:tcBorders>
            <w:tcMar>
              <w:top w:w="15" w:type="dxa"/>
              <w:left w:w="15" w:type="dxa"/>
              <w:bottom w:w="15" w:type="dxa"/>
              <w:right w:w="15" w:type="dxa"/>
            </w:tcMar>
            <w:vAlign w:val="center"/>
          </w:tcPr>
          <w:p w14:paraId="2689F5EC"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Peso (kg) aproximado</w:t>
            </w:r>
          </w:p>
        </w:tc>
        <w:tc>
          <w:tcPr>
            <w:tcW w:w="0" w:type="auto"/>
            <w:tcBorders>
              <w:top w:val="nil"/>
              <w:left w:val="nil"/>
              <w:bottom w:val="outset" w:sz="8" w:space="0" w:color="auto"/>
              <w:right w:val="outset" w:sz="8" w:space="0" w:color="auto"/>
            </w:tcBorders>
            <w:tcMar>
              <w:top w:w="15" w:type="dxa"/>
              <w:left w:w="15" w:type="dxa"/>
              <w:bottom w:w="15" w:type="dxa"/>
              <w:right w:w="15" w:type="dxa"/>
            </w:tcMar>
            <w:vAlign w:val="center"/>
          </w:tcPr>
          <w:p w14:paraId="15AC210C" w14:textId="77777777" w:rsidR="009607FE" w:rsidRPr="009607FE" w:rsidRDefault="009607FE" w:rsidP="00BA2D18">
            <w:pPr>
              <w:spacing w:before="100" w:beforeAutospacing="1" w:after="100" w:afterAutospacing="1" w:line="240" w:lineRule="auto"/>
              <w:rPr>
                <w:rFonts w:eastAsiaTheme="minorEastAsia" w:cstheme="minorHAnsi"/>
                <w:sz w:val="24"/>
                <w:szCs w:val="24"/>
              </w:rPr>
            </w:pPr>
            <w:r w:rsidRPr="009607FE">
              <w:rPr>
                <w:rFonts w:eastAsiaTheme="minorEastAsia" w:cstheme="minorHAnsi"/>
                <w:sz w:val="24"/>
                <w:szCs w:val="24"/>
              </w:rPr>
              <w:t> 644</w:t>
            </w:r>
          </w:p>
        </w:tc>
      </w:tr>
    </w:tbl>
    <w:p w14:paraId="52209D9F" w14:textId="77777777" w:rsidR="009607FE" w:rsidRPr="009607FE" w:rsidRDefault="009607FE" w:rsidP="009607FE">
      <w:pPr>
        <w:pStyle w:val="PargrafodaLista"/>
        <w:rPr>
          <w:rFonts w:cstheme="minorHAnsi"/>
          <w:sz w:val="24"/>
          <w:szCs w:val="24"/>
        </w:rPr>
      </w:pPr>
    </w:p>
    <w:p w14:paraId="484BCECD" w14:textId="77777777" w:rsidR="009607FE" w:rsidRPr="009607FE" w:rsidRDefault="009607FE" w:rsidP="009607FE">
      <w:pPr>
        <w:pStyle w:val="PargrafodaLista"/>
        <w:rPr>
          <w:rFonts w:cstheme="minorHAnsi"/>
          <w:sz w:val="24"/>
          <w:szCs w:val="24"/>
        </w:rPr>
      </w:pPr>
    </w:p>
    <w:p w14:paraId="1F4979D9"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 xml:space="preserve">Finalizado o processo de </w:t>
      </w:r>
      <w:r w:rsidRPr="009607FE">
        <w:rPr>
          <w:rFonts w:eastAsiaTheme="minorEastAsia" w:cstheme="minorHAnsi"/>
          <w:i/>
          <w:iCs/>
          <w:sz w:val="24"/>
          <w:szCs w:val="24"/>
        </w:rPr>
        <w:t>moving</w:t>
      </w:r>
      <w:r w:rsidRPr="009607FE">
        <w:rPr>
          <w:rFonts w:eastAsiaTheme="minorEastAsia" w:cstheme="minorHAnsi"/>
          <w:sz w:val="24"/>
          <w:szCs w:val="24"/>
        </w:rPr>
        <w:t xml:space="preserve">, os equipamentos do item 1 do objeto deverão ser entregues pela CONTRATADA nos endereços abaixo, em até 5 dias úteis, em horário a ser definido na reunião de </w:t>
      </w:r>
      <w:r w:rsidRPr="009607FE">
        <w:rPr>
          <w:rFonts w:eastAsiaTheme="minorEastAsia" w:cstheme="minorHAnsi"/>
          <w:i/>
          <w:iCs/>
          <w:sz w:val="24"/>
          <w:szCs w:val="24"/>
        </w:rPr>
        <w:t>kick-off</w:t>
      </w:r>
      <w:r w:rsidRPr="009607FE">
        <w:rPr>
          <w:rFonts w:eastAsiaTheme="minorEastAsia" w:cstheme="minorHAnsi"/>
          <w:sz w:val="24"/>
          <w:szCs w:val="24"/>
        </w:rPr>
        <w:t xml:space="preserve">: </w:t>
      </w:r>
    </w:p>
    <w:p w14:paraId="60D43878"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Tribunal de Justiça - Centro Político Administrativo - Rua C, S/N - CEP 78049-926 - Cuiabá-MT;</w:t>
      </w:r>
    </w:p>
    <w:p w14:paraId="48874E1A"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Fórum da Comarca de Cuiabá - Rua Desembargador Milton Figueiredo, s/n, Setor D – Centro Político Administrativo – CEP: 78050-970 – Cuiabá-MT;</w:t>
      </w:r>
    </w:p>
    <w:p w14:paraId="09CC149D"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Os equipamentos deverão ser entregues com todos os cabos de energia, cabos serial, cabos de fibra óptica e demais equipamentos necessários para realizar a instalação;</w:t>
      </w:r>
    </w:p>
    <w:p w14:paraId="753F845A"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Deverá ser entregue, juntamente com os equipamentos adquiridos, toda a documentação técnica composta por manuais de instalação, configuração e operação, bem como respectivas notas fiscais e/ou faturas.</w:t>
      </w:r>
    </w:p>
    <w:p w14:paraId="20C56F2D"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A contratada deverá seguir o procedimento de instalação, satisfazendo os seguintes critérios:</w:t>
      </w:r>
    </w:p>
    <w:p w14:paraId="5146DC33" w14:textId="77777777" w:rsidR="009607FE" w:rsidRPr="009607FE" w:rsidRDefault="009607FE" w:rsidP="009607FE">
      <w:pPr>
        <w:pStyle w:val="PargrafodaLista"/>
        <w:numPr>
          <w:ilvl w:val="1"/>
          <w:numId w:val="11"/>
        </w:numPr>
        <w:spacing w:line="240" w:lineRule="auto"/>
        <w:rPr>
          <w:rFonts w:eastAsiaTheme="minorEastAsia" w:cstheme="minorHAnsi"/>
          <w:sz w:val="24"/>
          <w:szCs w:val="24"/>
        </w:rPr>
      </w:pPr>
      <w:r w:rsidRPr="009607FE">
        <w:rPr>
          <w:rFonts w:eastAsiaTheme="minorEastAsia" w:cstheme="minorHAnsi"/>
          <w:sz w:val="24"/>
          <w:szCs w:val="24"/>
        </w:rPr>
        <w:t>Ligar o equipamento na energia elétrica nos nobreaks já instalados nas unidades de maneira redundante;</w:t>
      </w:r>
      <w:r w:rsidRPr="009607FE">
        <w:rPr>
          <w:rFonts w:eastAsiaTheme="minorEastAsia" w:cstheme="minorHAnsi"/>
          <w:color w:val="FF0000"/>
          <w:sz w:val="24"/>
          <w:szCs w:val="24"/>
        </w:rPr>
        <w:t xml:space="preserve"> </w:t>
      </w:r>
    </w:p>
    <w:p w14:paraId="267A7BFA" w14:textId="77777777" w:rsidR="009607FE" w:rsidRPr="009607FE" w:rsidRDefault="009607FE" w:rsidP="009607FE">
      <w:pPr>
        <w:pStyle w:val="PargrafodaLista"/>
        <w:numPr>
          <w:ilvl w:val="1"/>
          <w:numId w:val="11"/>
        </w:numPr>
        <w:spacing w:line="240" w:lineRule="auto"/>
        <w:rPr>
          <w:rFonts w:eastAsiaTheme="minorEastAsia" w:cstheme="minorHAnsi"/>
          <w:sz w:val="24"/>
          <w:szCs w:val="24"/>
        </w:rPr>
      </w:pPr>
      <w:r w:rsidRPr="009607FE">
        <w:rPr>
          <w:rFonts w:eastAsiaTheme="minorEastAsia" w:cstheme="minorHAnsi"/>
          <w:sz w:val="24"/>
          <w:szCs w:val="24"/>
        </w:rPr>
        <w:t>Ligar os cabos lógicos nos switches disponibilizados já instalados no local, verificando com a equipe técnica do TJMT as portas lógicas;</w:t>
      </w:r>
    </w:p>
    <w:p w14:paraId="43F2EB6E" w14:textId="77777777" w:rsidR="009607FE" w:rsidRPr="009607FE" w:rsidRDefault="009607FE" w:rsidP="009607FE">
      <w:pPr>
        <w:pStyle w:val="PargrafodaLista"/>
        <w:numPr>
          <w:ilvl w:val="1"/>
          <w:numId w:val="11"/>
        </w:numPr>
        <w:spacing w:line="240" w:lineRule="auto"/>
        <w:rPr>
          <w:rFonts w:eastAsiaTheme="minorEastAsia" w:cstheme="minorHAnsi"/>
          <w:sz w:val="24"/>
          <w:szCs w:val="24"/>
        </w:rPr>
      </w:pPr>
      <w:r w:rsidRPr="009607FE">
        <w:rPr>
          <w:rFonts w:eastAsiaTheme="minorEastAsia" w:cstheme="minorHAnsi"/>
          <w:sz w:val="24"/>
          <w:szCs w:val="24"/>
        </w:rPr>
        <w:t>Checagem e adequação no aterramento, caso este se faça necessário;</w:t>
      </w:r>
    </w:p>
    <w:p w14:paraId="593EAAFC" w14:textId="77777777" w:rsidR="009607FE" w:rsidRPr="009607FE" w:rsidRDefault="009607FE" w:rsidP="009607FE">
      <w:pPr>
        <w:pStyle w:val="PargrafodaLista"/>
        <w:numPr>
          <w:ilvl w:val="1"/>
          <w:numId w:val="11"/>
        </w:numPr>
        <w:spacing w:line="240" w:lineRule="auto"/>
        <w:rPr>
          <w:rFonts w:eastAsiaTheme="minorEastAsia" w:cstheme="minorHAnsi"/>
          <w:sz w:val="24"/>
          <w:szCs w:val="24"/>
        </w:rPr>
      </w:pPr>
      <w:r w:rsidRPr="009607FE">
        <w:rPr>
          <w:rFonts w:eastAsiaTheme="minorEastAsia" w:cstheme="minorHAnsi"/>
          <w:sz w:val="24"/>
          <w:szCs w:val="24"/>
        </w:rPr>
        <w:t xml:space="preserve">Organizar todo o cabeamento proveniente da instalação; </w:t>
      </w:r>
    </w:p>
    <w:p w14:paraId="54325F16" w14:textId="77777777" w:rsidR="009607FE" w:rsidRPr="009607FE" w:rsidRDefault="009607FE" w:rsidP="009607FE">
      <w:pPr>
        <w:pStyle w:val="PargrafodaLista"/>
        <w:numPr>
          <w:ilvl w:val="0"/>
          <w:numId w:val="11"/>
        </w:numPr>
        <w:rPr>
          <w:rFonts w:eastAsiaTheme="minorEastAsia" w:cstheme="minorHAnsi"/>
          <w:b/>
          <w:bCs/>
          <w:sz w:val="24"/>
          <w:szCs w:val="24"/>
        </w:rPr>
      </w:pPr>
      <w:r w:rsidRPr="009607FE">
        <w:rPr>
          <w:rFonts w:eastAsiaTheme="minorEastAsia" w:cstheme="minorHAnsi"/>
          <w:sz w:val="24"/>
          <w:szCs w:val="24"/>
        </w:rPr>
        <w:t>O recebimento provisório deverá ser realizado pelo Integrante Técnico e a Comissão de Recebimento de Bens do TJMT, mediante assinatura do Termo de Aceite Provisório, após a comprovação do perfeito funcionamento dos equipamentos e das adequações às especificações técnicas descritas neste Estudo Preliminar, em no máximo 05 (cinco) dias úteis, contados do primeiro dia útil posterior à entrega e instalação dos equipamentos.</w:t>
      </w:r>
    </w:p>
    <w:p w14:paraId="2B76AB28"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O recebimento definitivo será realizado após a conclusão da instalação técnica validada presencialmente pelo fiscal técnico, juntamente com o Termo de Aceite Provisório.</w:t>
      </w:r>
    </w:p>
    <w:p w14:paraId="0290E10C"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Após o recebimento definitivo e atesto da Nota Fiscal, o fiscal técnico encaminhará cópia da mesma ao Departamento de Material e Patrimônio do TJMT, para cumprimento das regras estabelecidas no Marco Regulatório.</w:t>
      </w:r>
    </w:p>
    <w:p w14:paraId="0B162FBA"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 xml:space="preserve">O Departamento de Material e Patrimônio será responsável por fixar a plaqueta com o número do patrimônio no equipamento. </w:t>
      </w:r>
    </w:p>
    <w:p w14:paraId="6D31A60C"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A implantação do item 2 (expansão), deverá ocorrer por intermédio de Ordem de Serviço.</w:t>
      </w:r>
    </w:p>
    <w:p w14:paraId="5BCCE4A7" w14:textId="1E163EFA" w:rsidR="009607FE" w:rsidRPr="009607FE" w:rsidRDefault="009607FE" w:rsidP="00B6041B">
      <w:pPr>
        <w:pStyle w:val="PargrafodaLista"/>
        <w:numPr>
          <w:ilvl w:val="1"/>
          <w:numId w:val="11"/>
        </w:numPr>
        <w:rPr>
          <w:rFonts w:eastAsiaTheme="minorEastAsia" w:cstheme="minorHAnsi"/>
          <w:sz w:val="24"/>
          <w:szCs w:val="24"/>
        </w:rPr>
      </w:pPr>
      <w:r w:rsidRPr="009607FE">
        <w:rPr>
          <w:rFonts w:eastAsiaTheme="minorEastAsia" w:cstheme="minorHAnsi"/>
          <w:sz w:val="24"/>
          <w:szCs w:val="24"/>
        </w:rPr>
        <w:t>A implantação dos equipamentos desse item será feita</w:t>
      </w:r>
      <w:r w:rsidR="00B6041B" w:rsidRPr="004E5739">
        <w:rPr>
          <w:rFonts w:eastAsiaTheme="minorEastAsia"/>
          <w:sz w:val="24"/>
          <w:szCs w:val="24"/>
        </w:rPr>
        <w:t xml:space="preserve"> </w:t>
      </w:r>
      <w:r w:rsidR="00B6041B">
        <w:rPr>
          <w:rFonts w:eastAsiaTheme="minorEastAsia"/>
          <w:sz w:val="24"/>
          <w:szCs w:val="24"/>
        </w:rPr>
        <w:t>após 12 (doze) meses de vigência do contrato</w:t>
      </w:r>
      <w:r w:rsidRPr="009607FE">
        <w:rPr>
          <w:rFonts w:eastAsiaTheme="minorEastAsia" w:cstheme="minorHAnsi"/>
          <w:sz w:val="24"/>
          <w:szCs w:val="24"/>
        </w:rPr>
        <w:t>.</w:t>
      </w:r>
    </w:p>
    <w:p w14:paraId="5E6CD4F3"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A implantação do item 3 (expansão), também deverá ocorrer por intermédio de Ordem de Serviço.</w:t>
      </w:r>
    </w:p>
    <w:p w14:paraId="76895B99" w14:textId="38AF6F00" w:rsidR="009607FE" w:rsidRPr="009607FE" w:rsidRDefault="009607FE" w:rsidP="00B6041B">
      <w:pPr>
        <w:pStyle w:val="PargrafodaLista"/>
        <w:numPr>
          <w:ilvl w:val="1"/>
          <w:numId w:val="11"/>
        </w:numPr>
        <w:rPr>
          <w:rFonts w:eastAsiaTheme="minorEastAsia" w:cstheme="minorHAnsi"/>
          <w:sz w:val="24"/>
          <w:szCs w:val="24"/>
        </w:rPr>
      </w:pPr>
      <w:r w:rsidRPr="009607FE">
        <w:rPr>
          <w:rFonts w:eastAsiaTheme="minorEastAsia" w:cstheme="minorHAnsi"/>
          <w:sz w:val="24"/>
          <w:szCs w:val="24"/>
        </w:rPr>
        <w:t xml:space="preserve">A implantação dos equipamentos desse item será feita </w:t>
      </w:r>
      <w:r w:rsidR="00B6041B">
        <w:rPr>
          <w:rFonts w:eastAsiaTheme="minorEastAsia" w:cstheme="minorHAnsi"/>
          <w:sz w:val="24"/>
          <w:szCs w:val="24"/>
        </w:rPr>
        <w:t>após 24 (vinte e quatro) meses de vigência de contrato</w:t>
      </w:r>
      <w:r w:rsidRPr="009607FE">
        <w:rPr>
          <w:rFonts w:eastAsiaTheme="minorEastAsia" w:cstheme="minorHAnsi"/>
          <w:sz w:val="24"/>
          <w:szCs w:val="24"/>
        </w:rPr>
        <w:t>.</w:t>
      </w:r>
    </w:p>
    <w:p w14:paraId="0E8BF9F1"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Os equipamentos dos itens 2 e 3 deverão ser entregues nos endereços abaixo, em horário definido pelo fiscal técnico do contrato, após solicitação da Ordem de Serviço:</w:t>
      </w:r>
    </w:p>
    <w:p w14:paraId="2B0041AF"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Tribunal de Justiça - Centro Político Administrativo - Rua C, S/N - CEP 78049-926 - Cuiabá-MT;</w:t>
      </w:r>
    </w:p>
    <w:p w14:paraId="43E493B7" w14:textId="77777777" w:rsidR="009607FE" w:rsidRPr="009607FE" w:rsidRDefault="009607FE" w:rsidP="009607FE">
      <w:pPr>
        <w:pStyle w:val="PargrafodaLista"/>
        <w:numPr>
          <w:ilvl w:val="1"/>
          <w:numId w:val="11"/>
        </w:numPr>
        <w:rPr>
          <w:rFonts w:eastAsiaTheme="minorEastAsia" w:cstheme="minorHAnsi"/>
          <w:sz w:val="24"/>
          <w:szCs w:val="24"/>
        </w:rPr>
      </w:pPr>
      <w:r w:rsidRPr="009607FE">
        <w:rPr>
          <w:rFonts w:eastAsiaTheme="minorEastAsia" w:cstheme="minorHAnsi"/>
          <w:sz w:val="24"/>
          <w:szCs w:val="24"/>
        </w:rPr>
        <w:t>Fórum da Comarca de Cuiabá - Rua Desembargador Milton Figueiredo, s/n, Setor D – Centro Político Administrativo – CEP: 78050-970 – Cuiabá-MT;</w:t>
      </w:r>
    </w:p>
    <w:p w14:paraId="3303B5B6"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 xml:space="preserve">A Contratada deverá seguir o cronograma de implantação definido na reunião de </w:t>
      </w:r>
      <w:r w:rsidRPr="009607FE">
        <w:rPr>
          <w:rFonts w:eastAsiaTheme="minorEastAsia" w:cstheme="minorHAnsi"/>
          <w:i/>
          <w:iCs/>
          <w:sz w:val="24"/>
          <w:szCs w:val="24"/>
        </w:rPr>
        <w:t>kick-off</w:t>
      </w:r>
      <w:r w:rsidRPr="009607FE">
        <w:rPr>
          <w:rFonts w:eastAsiaTheme="minorEastAsia" w:cstheme="minorHAnsi"/>
          <w:sz w:val="24"/>
          <w:szCs w:val="24"/>
        </w:rPr>
        <w:t xml:space="preserve"> com a equipe técnica da Coordenadoria de Tecnologia da Informação – Departamento de Conectividade, que deverá fazer parte integrante do contrato.</w:t>
      </w:r>
    </w:p>
    <w:p w14:paraId="305EE5FA"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 xml:space="preserve">O cronograma de implantação será confirmado em reunião de </w:t>
      </w:r>
      <w:r w:rsidRPr="009607FE">
        <w:rPr>
          <w:rFonts w:eastAsiaTheme="minorEastAsia" w:cstheme="minorHAnsi"/>
          <w:i/>
          <w:iCs/>
          <w:sz w:val="24"/>
          <w:szCs w:val="24"/>
        </w:rPr>
        <w:t>kick-off</w:t>
      </w:r>
      <w:r w:rsidRPr="009607FE">
        <w:rPr>
          <w:rFonts w:eastAsiaTheme="minorEastAsia" w:cstheme="minorHAnsi"/>
          <w:sz w:val="24"/>
          <w:szCs w:val="24"/>
        </w:rPr>
        <w:t xml:space="preserve"> entre a CONTRATADA e a equipe da Coordenadoria de Tecnologia da Informação – Departamento de Conectividade do TJMT.</w:t>
      </w:r>
    </w:p>
    <w:p w14:paraId="43A98003"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Os equipamentos deverão ser acondicionados de maneira organizada, em caixa lacrada, de forma a resistir à armazenagem e permitir completa segurança durante o transporte.</w:t>
      </w:r>
    </w:p>
    <w:p w14:paraId="58A0C4E9"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A CONTRATADA deverá entregar os equipamentos novos e de primeiro uso, juntamente com todos os itens acessórios de hardware / software necessários ao perfeito funcionamento da Solução adquirida, incluindo licenças, conectores, interfaces, suportes, garantia, manutenção, conforme especificado no Anexo C;</w:t>
      </w:r>
    </w:p>
    <w:p w14:paraId="2AAF05F9"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Todos os cabos deverão ser organizados de maneira que não comprometa os demais equipamentos.</w:t>
      </w:r>
    </w:p>
    <w:p w14:paraId="1784E771" w14:textId="77777777" w:rsidR="009607FE" w:rsidRPr="009607FE" w:rsidRDefault="009607FE" w:rsidP="009607FE">
      <w:pPr>
        <w:pStyle w:val="PargrafodaLista"/>
        <w:numPr>
          <w:ilvl w:val="0"/>
          <w:numId w:val="11"/>
        </w:numPr>
        <w:rPr>
          <w:rFonts w:eastAsiaTheme="minorEastAsia" w:cstheme="minorHAnsi"/>
          <w:sz w:val="24"/>
          <w:szCs w:val="24"/>
        </w:rPr>
      </w:pPr>
      <w:r w:rsidRPr="009607FE">
        <w:rPr>
          <w:rFonts w:eastAsiaTheme="minorEastAsia" w:cstheme="minorHAnsi"/>
          <w:sz w:val="24"/>
          <w:szCs w:val="24"/>
        </w:rPr>
        <w:t>Por ocasião do recebimento provisório/definitivo dos produtos/instalação, será assinado documento pertinente, que integrará o Contrato, em conformidade com o estabelecido no Art. 73, da Lei 8.666/1993.</w:t>
      </w:r>
    </w:p>
    <w:p w14:paraId="60AFA68D" w14:textId="77777777" w:rsidR="009607FE" w:rsidRPr="009607FE" w:rsidRDefault="009607FE" w:rsidP="009607FE">
      <w:pPr>
        <w:rPr>
          <w:rFonts w:cstheme="minorHAnsi"/>
          <w:b/>
          <w:sz w:val="24"/>
          <w:szCs w:val="24"/>
        </w:rPr>
      </w:pPr>
    </w:p>
    <w:p w14:paraId="4D955A85" w14:textId="77777777" w:rsidR="009607FE" w:rsidRPr="009607FE" w:rsidRDefault="009607FE" w:rsidP="009607FE">
      <w:pPr>
        <w:rPr>
          <w:rFonts w:eastAsiaTheme="minorEastAsia" w:cstheme="minorHAnsi"/>
          <w:b/>
          <w:bCs/>
          <w:sz w:val="24"/>
          <w:szCs w:val="24"/>
        </w:rPr>
      </w:pPr>
      <w:r w:rsidRPr="009607FE">
        <w:rPr>
          <w:rFonts w:eastAsiaTheme="minorEastAsia" w:cstheme="minorHAnsi"/>
          <w:b/>
          <w:bCs/>
          <w:sz w:val="24"/>
          <w:szCs w:val="24"/>
        </w:rPr>
        <w:t>VALIDAÇÃO DA IMPLEMENTAÇÃO</w:t>
      </w:r>
    </w:p>
    <w:p w14:paraId="75BE7E59" w14:textId="77777777" w:rsidR="009607FE" w:rsidRPr="009607FE" w:rsidRDefault="009607FE" w:rsidP="009607FE">
      <w:pPr>
        <w:ind w:firstLine="1134"/>
        <w:jc w:val="both"/>
        <w:rPr>
          <w:rFonts w:eastAsia="GothamHTF-Book" w:cstheme="minorHAnsi"/>
          <w:color w:val="FF0000"/>
        </w:rPr>
      </w:pPr>
    </w:p>
    <w:p w14:paraId="28021AF6" w14:textId="77777777" w:rsidR="009607FE" w:rsidRPr="009607FE" w:rsidRDefault="009607FE" w:rsidP="009607FE">
      <w:pPr>
        <w:ind w:firstLine="1134"/>
        <w:jc w:val="both"/>
        <w:rPr>
          <w:rFonts w:eastAsiaTheme="minorEastAsia" w:cstheme="minorHAnsi"/>
          <w:color w:val="000000" w:themeColor="text1"/>
          <w:sz w:val="24"/>
          <w:szCs w:val="24"/>
        </w:rPr>
      </w:pPr>
      <w:r w:rsidRPr="009607FE">
        <w:rPr>
          <w:rFonts w:eastAsiaTheme="minorEastAsia" w:cstheme="minorHAnsi"/>
          <w:color w:val="000000" w:themeColor="text1"/>
          <w:sz w:val="24"/>
          <w:szCs w:val="24"/>
        </w:rPr>
        <w:t>Os técnicos responsáveis pelo acompanhamento das instalações e configurações dos equipamentos são todos de responsabilidade da Coordenadoria de Tecnologia da Informação - Departamento de Conectividade, por possuir pessoal qualificado para a realização das atividades propostas neste projeto.</w:t>
      </w:r>
    </w:p>
    <w:p w14:paraId="73D1284E" w14:textId="77777777" w:rsidR="009607FE" w:rsidRPr="009607FE" w:rsidRDefault="009607FE" w:rsidP="009607FE">
      <w:pPr>
        <w:ind w:firstLine="1134"/>
        <w:jc w:val="both"/>
        <w:rPr>
          <w:rFonts w:eastAsiaTheme="minorEastAsia" w:cstheme="minorHAnsi"/>
          <w:color w:val="000000" w:themeColor="text1"/>
          <w:sz w:val="24"/>
          <w:szCs w:val="24"/>
        </w:rPr>
      </w:pPr>
      <w:r w:rsidRPr="009607FE">
        <w:rPr>
          <w:rFonts w:eastAsiaTheme="minorEastAsia" w:cstheme="minorHAnsi"/>
          <w:color w:val="000000" w:themeColor="text1"/>
          <w:sz w:val="24"/>
          <w:szCs w:val="24"/>
        </w:rPr>
        <w:t>Além do acompanhamento, a validação também será efetuada por técnicos da Coordenadoria de Tecnologia da Informação – Departamento de Conectividade, e homologada pelo FISCAL do contrato. O processo de homologação se dará nas seguintes fases:</w:t>
      </w:r>
    </w:p>
    <w:p w14:paraId="3A04297A" w14:textId="77777777" w:rsidR="009607FE" w:rsidRPr="009607FE" w:rsidRDefault="009607FE" w:rsidP="009607FE">
      <w:pPr>
        <w:pStyle w:val="PargrafodaLista"/>
        <w:numPr>
          <w:ilvl w:val="0"/>
          <w:numId w:val="12"/>
        </w:numPr>
        <w:ind w:left="709"/>
        <w:rPr>
          <w:rFonts w:eastAsiaTheme="minorEastAsia" w:cstheme="minorHAnsi"/>
          <w:color w:val="000000" w:themeColor="text1"/>
          <w:sz w:val="24"/>
          <w:szCs w:val="24"/>
        </w:rPr>
      </w:pPr>
      <w:r w:rsidRPr="009607FE">
        <w:rPr>
          <w:rFonts w:eastAsiaTheme="minorEastAsia" w:cstheme="minorHAnsi"/>
          <w:sz w:val="24"/>
          <w:szCs w:val="24"/>
        </w:rPr>
        <w:t>Recebimento dos equipamentos pelo Fiscal</w:t>
      </w:r>
      <w:r w:rsidRPr="009607FE">
        <w:rPr>
          <w:rFonts w:eastAsiaTheme="minorEastAsia" w:cstheme="minorHAnsi"/>
          <w:color w:val="FF0000"/>
          <w:sz w:val="24"/>
          <w:szCs w:val="24"/>
        </w:rPr>
        <w:t xml:space="preserve"> </w:t>
      </w:r>
      <w:r w:rsidRPr="009607FE">
        <w:rPr>
          <w:rFonts w:eastAsiaTheme="minorEastAsia" w:cstheme="minorHAnsi"/>
          <w:color w:val="000000" w:themeColor="text1"/>
          <w:sz w:val="24"/>
          <w:szCs w:val="24"/>
        </w:rPr>
        <w:t xml:space="preserve">Técnico formalizando o termo de recebimento provisório; </w:t>
      </w:r>
    </w:p>
    <w:p w14:paraId="4CB811F3" w14:textId="77777777" w:rsidR="009607FE" w:rsidRPr="009607FE" w:rsidRDefault="009607FE" w:rsidP="009607FE">
      <w:pPr>
        <w:pStyle w:val="PargrafodaLista"/>
        <w:numPr>
          <w:ilvl w:val="0"/>
          <w:numId w:val="12"/>
        </w:numPr>
        <w:ind w:left="709"/>
        <w:rPr>
          <w:rFonts w:eastAsiaTheme="minorEastAsia" w:cstheme="minorHAnsi"/>
          <w:color w:val="000000" w:themeColor="text1"/>
          <w:sz w:val="24"/>
          <w:szCs w:val="24"/>
        </w:rPr>
      </w:pPr>
      <w:r w:rsidRPr="009607FE">
        <w:rPr>
          <w:rFonts w:eastAsiaTheme="minorEastAsia" w:cstheme="minorHAnsi"/>
          <w:color w:val="000000" w:themeColor="text1"/>
          <w:sz w:val="24"/>
          <w:szCs w:val="24"/>
        </w:rPr>
        <w:t>Validação pelos técnicos da Coordenadoria de Tecnologia da Informação – Departamento de Conectividade do TJMT, como:</w:t>
      </w:r>
    </w:p>
    <w:p w14:paraId="4C956EF1" w14:textId="77777777" w:rsidR="009607FE" w:rsidRPr="009607FE" w:rsidRDefault="009607FE" w:rsidP="009607FE">
      <w:pPr>
        <w:pStyle w:val="PargrafodaLista"/>
        <w:numPr>
          <w:ilvl w:val="1"/>
          <w:numId w:val="12"/>
        </w:numPr>
        <w:rPr>
          <w:rFonts w:eastAsiaTheme="minorEastAsia" w:cstheme="minorHAnsi"/>
          <w:color w:val="000000" w:themeColor="text1"/>
          <w:sz w:val="24"/>
          <w:szCs w:val="24"/>
        </w:rPr>
      </w:pPr>
      <w:r w:rsidRPr="009607FE">
        <w:rPr>
          <w:rFonts w:eastAsiaTheme="minorEastAsia" w:cstheme="minorHAnsi"/>
          <w:color w:val="000000" w:themeColor="text1"/>
          <w:sz w:val="24"/>
          <w:szCs w:val="24"/>
        </w:rPr>
        <w:t>Verificação das configurações e conexões dos equipamentos;</w:t>
      </w:r>
    </w:p>
    <w:p w14:paraId="1BCE0153" w14:textId="77777777" w:rsidR="009607FE" w:rsidRPr="009607FE" w:rsidRDefault="009607FE" w:rsidP="009607FE">
      <w:pPr>
        <w:pStyle w:val="PargrafodaLista"/>
        <w:numPr>
          <w:ilvl w:val="1"/>
          <w:numId w:val="12"/>
        </w:numPr>
        <w:rPr>
          <w:rFonts w:eastAsiaTheme="minorEastAsia" w:cstheme="minorHAnsi"/>
          <w:color w:val="000000" w:themeColor="text1"/>
          <w:sz w:val="24"/>
          <w:szCs w:val="24"/>
        </w:rPr>
      </w:pPr>
      <w:r w:rsidRPr="009607FE">
        <w:rPr>
          <w:rFonts w:eastAsiaTheme="minorEastAsia" w:cstheme="minorHAnsi"/>
          <w:color w:val="000000" w:themeColor="text1"/>
          <w:sz w:val="24"/>
          <w:szCs w:val="24"/>
        </w:rPr>
        <w:t>Verificação das configurações e volumetria do armazenamento de dados na interface padrão de gerenciamento da solução;</w:t>
      </w:r>
    </w:p>
    <w:p w14:paraId="49158499" w14:textId="77777777" w:rsidR="009607FE" w:rsidRPr="009607FE" w:rsidRDefault="009607FE" w:rsidP="009607FE">
      <w:pPr>
        <w:pStyle w:val="PargrafodaLista"/>
        <w:numPr>
          <w:ilvl w:val="1"/>
          <w:numId w:val="12"/>
        </w:numPr>
        <w:rPr>
          <w:rFonts w:eastAsiaTheme="minorEastAsia" w:cstheme="minorHAnsi"/>
          <w:color w:val="000000" w:themeColor="text1"/>
          <w:sz w:val="24"/>
          <w:szCs w:val="24"/>
        </w:rPr>
      </w:pPr>
      <w:r w:rsidRPr="009607FE">
        <w:rPr>
          <w:rFonts w:eastAsiaTheme="minorEastAsia" w:cstheme="minorHAnsi"/>
          <w:color w:val="000000" w:themeColor="text1"/>
          <w:sz w:val="24"/>
          <w:szCs w:val="24"/>
        </w:rPr>
        <w:t>Verificação quanto ao acoplamento ao ambiente virtual deste PJMT e funcionamento (leitura/escrita);</w:t>
      </w:r>
    </w:p>
    <w:p w14:paraId="598CCB4E" w14:textId="77777777" w:rsidR="009607FE" w:rsidRPr="009607FE" w:rsidRDefault="009607FE" w:rsidP="009607FE">
      <w:pPr>
        <w:pStyle w:val="PargrafodaLista"/>
        <w:numPr>
          <w:ilvl w:val="1"/>
          <w:numId w:val="12"/>
        </w:numPr>
        <w:rPr>
          <w:rFonts w:eastAsiaTheme="minorEastAsia" w:cstheme="minorHAnsi"/>
          <w:color w:val="000000" w:themeColor="text1"/>
          <w:sz w:val="24"/>
          <w:szCs w:val="24"/>
        </w:rPr>
      </w:pPr>
      <w:r w:rsidRPr="009607FE">
        <w:rPr>
          <w:rFonts w:eastAsiaTheme="minorEastAsia" w:cstheme="minorHAnsi"/>
          <w:color w:val="000000" w:themeColor="text1"/>
          <w:sz w:val="24"/>
          <w:szCs w:val="24"/>
        </w:rPr>
        <w:t>Verificação das funcionalidades do acesso aos arquivos por dispositivos móveis;</w:t>
      </w:r>
    </w:p>
    <w:p w14:paraId="0960547E" w14:textId="77777777" w:rsidR="009607FE" w:rsidRPr="009607FE" w:rsidRDefault="009607FE" w:rsidP="009607FE">
      <w:pPr>
        <w:pStyle w:val="PargrafodaLista"/>
        <w:numPr>
          <w:ilvl w:val="0"/>
          <w:numId w:val="12"/>
        </w:numPr>
        <w:ind w:left="709"/>
        <w:rPr>
          <w:rFonts w:eastAsiaTheme="minorEastAsia" w:cstheme="minorHAnsi"/>
          <w:color w:val="000000" w:themeColor="text1"/>
          <w:sz w:val="24"/>
          <w:szCs w:val="24"/>
        </w:rPr>
      </w:pPr>
      <w:r w:rsidRPr="009607FE">
        <w:rPr>
          <w:rFonts w:eastAsiaTheme="minorEastAsia" w:cstheme="minorHAnsi"/>
          <w:color w:val="000000" w:themeColor="text1"/>
          <w:sz w:val="24"/>
          <w:szCs w:val="24"/>
        </w:rPr>
        <w:t>O FISCAL do contrato deverá realizar o ateste de recebimento definitivo da solução, em conjunto com a Comissão de Recebimento de Bens do TJMT, na Nota Fiscal.</w:t>
      </w:r>
    </w:p>
    <w:p w14:paraId="4F96217E" w14:textId="77777777" w:rsidR="009607FE" w:rsidRPr="009607FE" w:rsidRDefault="009607FE" w:rsidP="009607FE">
      <w:pPr>
        <w:rPr>
          <w:rFonts w:cstheme="minorHAnsi"/>
          <w:highlight w:val="yellow"/>
        </w:rPr>
      </w:pPr>
    </w:p>
    <w:p w14:paraId="4D8FAFB2" w14:textId="77777777" w:rsidR="009607FE" w:rsidRPr="009607FE" w:rsidRDefault="009607FE" w:rsidP="009607FE">
      <w:pPr>
        <w:rPr>
          <w:rFonts w:eastAsiaTheme="minorEastAsia" w:cstheme="minorHAnsi"/>
          <w:b/>
          <w:bCs/>
          <w:sz w:val="24"/>
          <w:szCs w:val="24"/>
        </w:rPr>
      </w:pPr>
      <w:r w:rsidRPr="009607FE">
        <w:rPr>
          <w:rFonts w:eastAsiaTheme="minorEastAsia" w:cstheme="minorHAnsi"/>
          <w:b/>
          <w:bCs/>
          <w:sz w:val="24"/>
          <w:szCs w:val="24"/>
        </w:rPr>
        <w:t>PRAZO DE IMPLANTAÇÃO</w:t>
      </w:r>
    </w:p>
    <w:p w14:paraId="1C542019" w14:textId="77777777" w:rsidR="009607FE" w:rsidRPr="009607FE" w:rsidRDefault="009607FE" w:rsidP="009607FE">
      <w:pPr>
        <w:rPr>
          <w:rFonts w:cstheme="minorHAnsi"/>
        </w:rPr>
      </w:pPr>
    </w:p>
    <w:p w14:paraId="62603027" w14:textId="5ACB879C" w:rsidR="009607FE" w:rsidRPr="009607FE" w:rsidRDefault="009607FE" w:rsidP="009607FE">
      <w:pPr>
        <w:spacing w:line="240" w:lineRule="auto"/>
        <w:ind w:firstLine="1134"/>
        <w:jc w:val="both"/>
        <w:rPr>
          <w:rFonts w:eastAsiaTheme="minorEastAsia" w:cstheme="minorHAnsi"/>
          <w:color w:val="000000" w:themeColor="text1"/>
          <w:sz w:val="24"/>
          <w:szCs w:val="24"/>
        </w:rPr>
      </w:pPr>
      <w:r w:rsidRPr="009607FE">
        <w:rPr>
          <w:rFonts w:eastAsiaTheme="minorEastAsia" w:cstheme="minorHAnsi"/>
          <w:color w:val="000000" w:themeColor="text1"/>
          <w:sz w:val="24"/>
          <w:szCs w:val="24"/>
        </w:rPr>
        <w:t xml:space="preserve">O prazo total para a instalação dos equipamentos do item 1 deverá ser de, no máximo, 60 (sessenta) dias, contados a </w:t>
      </w:r>
      <w:r w:rsidRPr="00ED1A87">
        <w:rPr>
          <w:rFonts w:eastAsiaTheme="minorEastAsia" w:cstheme="minorHAnsi"/>
          <w:sz w:val="24"/>
          <w:szCs w:val="24"/>
        </w:rPr>
        <w:t>partir d</w:t>
      </w:r>
      <w:r w:rsidR="005C2E02" w:rsidRPr="00ED1A87">
        <w:rPr>
          <w:rFonts w:eastAsiaTheme="minorEastAsia" w:cstheme="minorHAnsi"/>
          <w:sz w:val="24"/>
          <w:szCs w:val="24"/>
        </w:rPr>
        <w:t>o recebimento do empenho pela Contratada.</w:t>
      </w:r>
    </w:p>
    <w:p w14:paraId="1F24368A" w14:textId="77777777" w:rsidR="009607FE" w:rsidRPr="009607FE" w:rsidRDefault="009607FE" w:rsidP="009607FE">
      <w:pPr>
        <w:spacing w:line="240" w:lineRule="auto"/>
        <w:ind w:firstLine="1134"/>
        <w:jc w:val="both"/>
        <w:rPr>
          <w:rFonts w:eastAsiaTheme="minorEastAsia" w:cstheme="minorHAnsi"/>
          <w:color w:val="000000" w:themeColor="text1"/>
          <w:sz w:val="24"/>
          <w:szCs w:val="24"/>
        </w:rPr>
      </w:pPr>
      <w:r w:rsidRPr="009607FE">
        <w:rPr>
          <w:rFonts w:eastAsiaTheme="minorEastAsia" w:cstheme="minorHAnsi"/>
          <w:color w:val="000000" w:themeColor="text1"/>
          <w:sz w:val="24"/>
          <w:szCs w:val="24"/>
        </w:rPr>
        <w:t>Para os itens 2 e 3, deverá atender o prazo máximo de 30 (trinta) dias, contados a partir da Emissão das respectivas Ordens de Serviço.</w:t>
      </w:r>
    </w:p>
    <w:p w14:paraId="4853F776" w14:textId="4B4D14F6" w:rsidR="008472C0" w:rsidRPr="009607FE" w:rsidRDefault="009607FE" w:rsidP="009607FE">
      <w:pPr>
        <w:ind w:firstLine="1134"/>
        <w:jc w:val="both"/>
        <w:rPr>
          <w:rFonts w:eastAsiaTheme="minorEastAsia" w:cstheme="minorHAnsi"/>
          <w:highlight w:val="yellow"/>
        </w:rPr>
      </w:pPr>
      <w:r w:rsidRPr="009607FE">
        <w:rPr>
          <w:rFonts w:eastAsiaTheme="minorEastAsia" w:cstheme="minorHAnsi"/>
          <w:color w:val="000000" w:themeColor="text1"/>
          <w:sz w:val="24"/>
          <w:szCs w:val="24"/>
        </w:rPr>
        <w:t xml:space="preserve">Na reunião de </w:t>
      </w:r>
      <w:r w:rsidRPr="009607FE">
        <w:rPr>
          <w:rFonts w:eastAsiaTheme="minorEastAsia" w:cstheme="minorHAnsi"/>
          <w:i/>
          <w:iCs/>
          <w:color w:val="000000" w:themeColor="text1"/>
          <w:sz w:val="24"/>
          <w:szCs w:val="24"/>
        </w:rPr>
        <w:t>Kick-off</w:t>
      </w:r>
      <w:r w:rsidRPr="009607FE">
        <w:rPr>
          <w:rFonts w:eastAsiaTheme="minorEastAsia" w:cstheme="minorHAnsi"/>
          <w:color w:val="000000" w:themeColor="text1"/>
          <w:sz w:val="24"/>
          <w:szCs w:val="24"/>
        </w:rPr>
        <w:t>, deverá ser apresentado cronograma de entrega e instalação por parte da CONTRATADA, para ser validado com a CONTRATANTE</w:t>
      </w:r>
      <w:r w:rsidR="4F2C0FBD" w:rsidRPr="009607FE">
        <w:rPr>
          <w:rFonts w:eastAsiaTheme="minorEastAsia" w:cstheme="minorHAnsi"/>
          <w:color w:val="000000" w:themeColor="text1"/>
          <w:sz w:val="24"/>
          <w:szCs w:val="24"/>
        </w:rPr>
        <w:t>.</w:t>
      </w:r>
    </w:p>
    <w:p w14:paraId="584947AD" w14:textId="77777777" w:rsidR="008472C0" w:rsidRPr="009B7685" w:rsidRDefault="008472C0" w:rsidP="008472C0">
      <w:pPr>
        <w:rPr>
          <w:rFonts w:cstheme="minorHAnsi"/>
        </w:rPr>
      </w:pPr>
    </w:p>
    <w:p w14:paraId="0E4FA193" w14:textId="77777777" w:rsidR="008472C0" w:rsidRPr="009B7685" w:rsidRDefault="008472C0" w:rsidP="008472C0">
      <w:pPr>
        <w:rPr>
          <w:rFonts w:cstheme="minorHAnsi"/>
        </w:rPr>
      </w:pPr>
    </w:p>
    <w:p w14:paraId="1FF64332" w14:textId="77777777" w:rsidR="008472C0" w:rsidRPr="009B7685" w:rsidRDefault="008472C0" w:rsidP="008472C0">
      <w:pPr>
        <w:rPr>
          <w:rFonts w:cstheme="minorHAnsi"/>
        </w:rPr>
      </w:pPr>
    </w:p>
    <w:p w14:paraId="457C90E2" w14:textId="77777777" w:rsidR="008472C0" w:rsidRPr="009B7685" w:rsidRDefault="008472C0" w:rsidP="008472C0">
      <w:pPr>
        <w:rPr>
          <w:rFonts w:cstheme="minorHAnsi"/>
        </w:rPr>
      </w:pPr>
    </w:p>
    <w:p w14:paraId="56CEFF06" w14:textId="77777777" w:rsidR="008472C0" w:rsidRPr="009B7685" w:rsidRDefault="008472C0" w:rsidP="008472C0">
      <w:pPr>
        <w:rPr>
          <w:rFonts w:cstheme="minorHAnsi"/>
        </w:rPr>
      </w:pPr>
    </w:p>
    <w:p w14:paraId="5E1A699C" w14:textId="77777777" w:rsidR="008472C0" w:rsidRPr="009B7685" w:rsidRDefault="008472C0" w:rsidP="008472C0">
      <w:pPr>
        <w:rPr>
          <w:rFonts w:cstheme="minorHAnsi"/>
        </w:rPr>
      </w:pPr>
    </w:p>
    <w:p w14:paraId="36527D1C" w14:textId="77777777" w:rsidR="008472C0" w:rsidRPr="009B7685" w:rsidRDefault="008472C0" w:rsidP="008472C0">
      <w:pPr>
        <w:rPr>
          <w:rFonts w:cstheme="minorHAnsi"/>
        </w:rPr>
      </w:pPr>
    </w:p>
    <w:p w14:paraId="1596632E" w14:textId="77777777" w:rsidR="008472C0" w:rsidRPr="009B7685" w:rsidRDefault="008472C0" w:rsidP="008472C0">
      <w:pPr>
        <w:rPr>
          <w:rFonts w:cstheme="minorHAnsi"/>
        </w:rPr>
      </w:pPr>
    </w:p>
    <w:p w14:paraId="4567A48B" w14:textId="77777777" w:rsidR="008472C0" w:rsidRPr="009B7685" w:rsidRDefault="008472C0" w:rsidP="008472C0">
      <w:pPr>
        <w:rPr>
          <w:rFonts w:cstheme="minorHAnsi"/>
        </w:rPr>
      </w:pPr>
    </w:p>
    <w:p w14:paraId="34203141" w14:textId="77777777" w:rsidR="008472C0" w:rsidRPr="009B7685" w:rsidRDefault="008472C0" w:rsidP="008472C0">
      <w:pPr>
        <w:rPr>
          <w:rFonts w:cstheme="minorHAnsi"/>
        </w:rPr>
      </w:pPr>
    </w:p>
    <w:p w14:paraId="520E4C66" w14:textId="77777777" w:rsidR="008472C0" w:rsidRPr="009B7685" w:rsidRDefault="008472C0" w:rsidP="008472C0">
      <w:pPr>
        <w:rPr>
          <w:rFonts w:cstheme="minorHAnsi"/>
        </w:rPr>
      </w:pPr>
    </w:p>
    <w:p w14:paraId="0995D154" w14:textId="77777777" w:rsidR="008472C0" w:rsidRPr="009B7685" w:rsidRDefault="008472C0" w:rsidP="008472C0">
      <w:pPr>
        <w:rPr>
          <w:rFonts w:cstheme="minorHAnsi"/>
        </w:rPr>
      </w:pPr>
    </w:p>
    <w:p w14:paraId="538C490C" w14:textId="77777777" w:rsidR="008472C0" w:rsidRPr="009B7685" w:rsidRDefault="008472C0" w:rsidP="008472C0">
      <w:pPr>
        <w:rPr>
          <w:rFonts w:cstheme="minorHAnsi"/>
        </w:rPr>
      </w:pPr>
    </w:p>
    <w:p w14:paraId="47DB40C7" w14:textId="77777777" w:rsidR="008472C0" w:rsidRPr="009B7685" w:rsidRDefault="008472C0" w:rsidP="008472C0">
      <w:pPr>
        <w:rPr>
          <w:rFonts w:cstheme="minorHAnsi"/>
        </w:rPr>
      </w:pPr>
    </w:p>
    <w:p w14:paraId="4150EFF4" w14:textId="77777777" w:rsidR="008472C0" w:rsidRPr="009B7685" w:rsidRDefault="008472C0" w:rsidP="008472C0">
      <w:pPr>
        <w:rPr>
          <w:rFonts w:cstheme="minorHAnsi"/>
        </w:rPr>
      </w:pPr>
    </w:p>
    <w:p w14:paraId="59123F6D" w14:textId="77777777" w:rsidR="008472C0" w:rsidRPr="009B7685" w:rsidRDefault="008472C0" w:rsidP="008472C0">
      <w:pPr>
        <w:rPr>
          <w:rFonts w:cstheme="minorHAnsi"/>
        </w:rPr>
      </w:pPr>
    </w:p>
    <w:p w14:paraId="2C1825FF" w14:textId="77777777" w:rsidR="008472C0" w:rsidRPr="009B7685" w:rsidRDefault="008472C0" w:rsidP="008472C0">
      <w:pPr>
        <w:rPr>
          <w:rFonts w:cstheme="minorHAnsi"/>
        </w:rPr>
      </w:pPr>
    </w:p>
    <w:p w14:paraId="3576629B" w14:textId="77777777" w:rsidR="008472C0" w:rsidRPr="009B7685" w:rsidRDefault="008472C0" w:rsidP="008472C0">
      <w:pPr>
        <w:spacing w:after="200"/>
        <w:rPr>
          <w:rFonts w:cstheme="minorHAnsi"/>
        </w:rPr>
      </w:pPr>
      <w:r w:rsidRPr="009B7685">
        <w:rPr>
          <w:rFonts w:cstheme="minorHAnsi"/>
        </w:rPr>
        <w:br w:type="page"/>
      </w:r>
    </w:p>
    <w:p w14:paraId="19B1AC47" w14:textId="77777777" w:rsidR="008472C0" w:rsidRPr="009B7685" w:rsidRDefault="008472C0" w:rsidP="4F2C0FBD">
      <w:pPr>
        <w:pStyle w:val="Ttulo1"/>
        <w:numPr>
          <w:ilvl w:val="0"/>
          <w:numId w:val="0"/>
        </w:numPr>
        <w:ind w:left="432"/>
        <w:rPr>
          <w:rFonts w:asciiTheme="minorHAnsi" w:eastAsiaTheme="minorEastAsia" w:hAnsiTheme="minorHAnsi" w:cstheme="minorBidi"/>
        </w:rPr>
      </w:pPr>
      <w:bookmarkStart w:id="96" w:name="_Toc534884838"/>
      <w:bookmarkStart w:id="97" w:name="_Ref489287827"/>
      <w:bookmarkStart w:id="98" w:name="_Ref489287845"/>
      <w:r w:rsidRPr="4F2C0FBD">
        <w:rPr>
          <w:rFonts w:asciiTheme="minorHAnsi" w:eastAsiaTheme="minorEastAsia" w:hAnsiTheme="minorHAnsi" w:cstheme="minorBidi"/>
        </w:rPr>
        <w:t>Anexo C</w:t>
      </w:r>
      <w:bookmarkEnd w:id="96"/>
    </w:p>
    <w:p w14:paraId="502ADCB6" w14:textId="77777777" w:rsidR="008472C0" w:rsidRPr="009B7685" w:rsidRDefault="008472C0" w:rsidP="4F2C0FBD">
      <w:pPr>
        <w:pStyle w:val="Estilo6"/>
        <w:pBdr>
          <w:bottom w:val="single" w:sz="12" w:space="1" w:color="auto"/>
        </w:pBdr>
        <w:rPr>
          <w:rFonts w:asciiTheme="minorHAnsi" w:eastAsiaTheme="minorEastAsia" w:hAnsiTheme="minorHAnsi" w:cstheme="minorBidi"/>
        </w:rPr>
      </w:pPr>
      <w:bookmarkStart w:id="99" w:name="_Toc534884839"/>
      <w:r w:rsidRPr="4F2C0FBD">
        <w:rPr>
          <w:rFonts w:asciiTheme="minorHAnsi" w:eastAsiaTheme="minorEastAsia" w:hAnsiTheme="minorHAnsi" w:cstheme="minorBidi"/>
        </w:rPr>
        <w:t>Requisitos Técnicos e de Negócio</w:t>
      </w:r>
      <w:bookmarkEnd w:id="99"/>
    </w:p>
    <w:sdt>
      <w:sdtPr>
        <w:rPr>
          <w:rFonts w:asciiTheme="minorHAnsi" w:hAnsiTheme="minorHAnsi" w:cstheme="minorHAnsi"/>
        </w:rPr>
        <w:alias w:val="Assunto"/>
        <w:tag w:val=""/>
        <w:id w:val="-1751659974"/>
        <w:dataBinding w:prefixMappings="xmlns:ns0='http://purl.org/dc/elements/1.1/' xmlns:ns1='http://schemas.openxmlformats.org/package/2006/metadata/core-properties' " w:xpath="/ns1:coreProperties[1]/ns0:subject[1]" w:storeItemID="{6C3C8BC8-F283-45AE-878A-BAB7291924A1}"/>
        <w:text/>
      </w:sdtPr>
      <w:sdtEndPr/>
      <w:sdtContent>
        <w:p w14:paraId="1761FF72" w14:textId="77777777" w:rsidR="008472C0" w:rsidRPr="009B7685" w:rsidRDefault="00DB26E8" w:rsidP="008472C0">
          <w:pPr>
            <w:pStyle w:val="Subttulo"/>
            <w:jc w:val="both"/>
            <w:rPr>
              <w:rFonts w:asciiTheme="minorHAnsi" w:hAnsiTheme="minorHAnsi" w:cstheme="minorHAnsi"/>
            </w:rPr>
          </w:pPr>
          <w:r>
            <w:rPr>
              <w:rFonts w:asciiTheme="minorHAnsi" w:hAnsiTheme="minorHAnsi" w:cstheme="minorHAnsi"/>
            </w:rPr>
            <w:t>Aquisição de Storage com suporte técnico e garantia</w:t>
          </w:r>
        </w:p>
      </w:sdtContent>
    </w:sdt>
    <w:p w14:paraId="391A3D32"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Definições</w:t>
      </w:r>
    </w:p>
    <w:p w14:paraId="3EAA85F3"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Capacidade Líquida: Área disponível para armazenamento de dados e uso dos sistemas operacionais e aplicações, sem considerar compressão, compactação de dados, áreas dedicadas à metadados ou dados duplicados por opções como mirror, dual copy, RAID (conforme definido pela SNIA-Storage Networking Industry Association) ou discos hot-spare.</w:t>
      </w:r>
    </w:p>
    <w:p w14:paraId="2EE18C80"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Considerar 1 (um) kilobyte igual a 1.024 (um mil e vinte e quatro) bytes, de armazenamento em discos (hard-disks) e SSD (dispositivos Flash), disponível para uso das aplicações.</w:t>
      </w:r>
    </w:p>
    <w:p w14:paraId="1DD7E072"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Discos SSD (Solid State Drives): Cada SSD (Solid State Disk) deverá possuir tecnologia Enterprise NAND-Flash ou eNAND. Serão aceitos os formatos em discos ou placas. A capacidade adicional nos discos SSD para a utilização da funcionalidade de over-provisioning não deverá ser considerada como capacidade líquida.</w:t>
      </w:r>
    </w:p>
    <w:p w14:paraId="7DCA3600" w14:textId="77777777" w:rsidR="00FA456F" w:rsidRPr="00CD42F0" w:rsidRDefault="00FA456F" w:rsidP="00FA456F">
      <w:pPr>
        <w:jc w:val="both"/>
        <w:rPr>
          <w:rFonts w:eastAsiaTheme="minorEastAsia" w:cstheme="minorHAnsi"/>
          <w:sz w:val="24"/>
          <w:szCs w:val="24"/>
        </w:rPr>
      </w:pPr>
    </w:p>
    <w:p w14:paraId="51868DDE"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Objeto</w:t>
      </w:r>
    </w:p>
    <w:p w14:paraId="31FD5ED5"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Solução de armazenamento de dados, escalável, composto por duas estruturas idênticas, a serem instaladas nos Datacenters deste Poder Judiciário (Tribunal de Justiça e Fórum da Capital), com capacidade de armazenamento total de, no mínimo, 2 PB (dois Petabytes) líquidos, cada.</w:t>
      </w:r>
    </w:p>
    <w:p w14:paraId="602BDB68"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deverá ser implantada por etapas, respeitando o seguinte cronograma: Após assinatura do contrato, solução com 1 PB de capacidade de armazenamento de dados em cada Datacenter, expansão de cada solução em 512 TB 12 meses após a implantação inicial, e uma segunda expansão, também de 512 TB, 24 meses após a instalação dos Storages.</w:t>
      </w:r>
    </w:p>
    <w:p w14:paraId="0D8D104F"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Os equipamentos deverão ser entregues com todos os cabos de energia, cabos “serial”, cabos de fibra óptica e demais equipamentos necessários para realizar a instalação.</w:t>
      </w:r>
    </w:p>
    <w:p w14:paraId="77B74CE9" w14:textId="77777777" w:rsidR="00FA456F" w:rsidRPr="00A534C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Todos os equipamentos que compõe a solução de armazenamento devem ser novos, sem uso, ainda em linha de fabricação, constar do anúncio mais recente do fabricante. O produto ofertado não pode constar na lista do fabricante de END-OF-SUPPORT (fim do suporte técnico) ou END-OF-SALE (fim de vendas), durante a vigência do contrato.</w:t>
      </w:r>
      <w:r w:rsidRPr="00CD42F0">
        <w:rPr>
          <w:rFonts w:eastAsiaTheme="minorEastAsia" w:cstheme="minorHAnsi"/>
          <w:b/>
          <w:bCs/>
          <w:sz w:val="24"/>
          <w:szCs w:val="24"/>
        </w:rPr>
        <w:t xml:space="preserve"> </w:t>
      </w:r>
    </w:p>
    <w:p w14:paraId="5D24DAF3" w14:textId="6443A662" w:rsidR="00A534C0" w:rsidRPr="00CD42F0" w:rsidRDefault="00A534C0" w:rsidP="00A534C0">
      <w:pPr>
        <w:pStyle w:val="PargrafodaLista"/>
        <w:numPr>
          <w:ilvl w:val="0"/>
          <w:numId w:val="25"/>
        </w:numPr>
        <w:rPr>
          <w:rFonts w:eastAsiaTheme="minorEastAsia" w:cstheme="minorHAnsi"/>
          <w:sz w:val="24"/>
          <w:szCs w:val="24"/>
        </w:rPr>
      </w:pPr>
      <w:r w:rsidRPr="00A534C0">
        <w:rPr>
          <w:rFonts w:eastAsiaTheme="minorEastAsia" w:cstheme="minorHAnsi"/>
          <w:sz w:val="24"/>
          <w:szCs w:val="24"/>
        </w:rPr>
        <w:t>O equipamento deve ser compatível com as normas estabelecidas pela SNIA (Storage Networking Industry Association) e prover interface de gerenciamento de acordo com o padrão SMI-S (Storage Management Initiative Specification) versão 1.6 ou superior, para gerenciamento do ambiente através de ferramentas de gerência de infraestrutura de armazenamento que utilizem esse padrão.  A conformidade com o item anterior será verificada através de consulta ao site oficial do SNIA http://www.snia.org/ctp/conformingproviders/ ou através de documentação oficial e publicada no site do fabricante</w:t>
      </w:r>
      <w:r>
        <w:rPr>
          <w:rFonts w:eastAsiaTheme="minorEastAsia" w:cstheme="minorHAnsi"/>
          <w:sz w:val="24"/>
          <w:szCs w:val="24"/>
        </w:rPr>
        <w:t>;</w:t>
      </w:r>
    </w:p>
    <w:p w14:paraId="1C415CA3"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 sistema de armazenamento de arquivos deverá ser do mesmo fabricante da solução, não se permitindo as modalidades OEM;</w:t>
      </w:r>
    </w:p>
    <w:p w14:paraId="128B9277"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integral deverá ser instalada em 2 racks de 19” (um em cada Datacenter), da própria fabricante, em conjunto com todos os acessórios, trilhos, réguas de energia, cabos originais necessários à sua instalação, placas, licenças de ativação, manuais e quaisquer outros elementos necessários à sua plena utilização conforme o solicitado nesta especificação;</w:t>
      </w:r>
    </w:p>
    <w:p w14:paraId="0F7E8A05" w14:textId="412A20D2"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w:t>
      </w:r>
      <w:r w:rsidR="009F6189">
        <w:rPr>
          <w:rFonts w:eastAsiaTheme="minorEastAsia" w:cstheme="minorHAnsi"/>
          <w:sz w:val="24"/>
          <w:szCs w:val="24"/>
        </w:rPr>
        <w:t>everá suportar, minimamente, 295</w:t>
      </w:r>
      <w:r w:rsidRPr="00CD42F0">
        <w:rPr>
          <w:rFonts w:eastAsiaTheme="minorEastAsia" w:cstheme="minorHAnsi"/>
          <w:sz w:val="24"/>
          <w:szCs w:val="24"/>
        </w:rPr>
        <w:t>.000 IOPS, sendo 1</w:t>
      </w:r>
      <w:r w:rsidR="009F6189">
        <w:rPr>
          <w:rFonts w:eastAsiaTheme="minorEastAsia" w:cstheme="minorHAnsi"/>
          <w:sz w:val="24"/>
          <w:szCs w:val="24"/>
        </w:rPr>
        <w:t>38</w:t>
      </w:r>
      <w:r w:rsidRPr="00CD42F0">
        <w:rPr>
          <w:rFonts w:eastAsiaTheme="minorEastAsia" w:cstheme="minorHAnsi"/>
          <w:sz w:val="24"/>
          <w:szCs w:val="24"/>
        </w:rPr>
        <w:t>.000 de leitura e 1</w:t>
      </w:r>
      <w:r w:rsidR="009F6189">
        <w:rPr>
          <w:rFonts w:eastAsiaTheme="minorEastAsia" w:cstheme="minorHAnsi"/>
          <w:sz w:val="24"/>
          <w:szCs w:val="24"/>
        </w:rPr>
        <w:t>57</w:t>
      </w:r>
      <w:r w:rsidRPr="00CD42F0">
        <w:rPr>
          <w:rFonts w:eastAsiaTheme="minorEastAsia" w:cstheme="minorHAnsi"/>
          <w:sz w:val="24"/>
          <w:szCs w:val="24"/>
        </w:rPr>
        <w:t xml:space="preserve">.000 de escrita, randomicamente, </w:t>
      </w:r>
      <w:r w:rsidR="009F6189">
        <w:rPr>
          <w:rFonts w:eastAsiaTheme="minorEastAsia" w:cstheme="minorHAnsi"/>
          <w:sz w:val="24"/>
          <w:szCs w:val="24"/>
        </w:rPr>
        <w:t>para blocos de no mínimo 4</w:t>
      </w:r>
      <w:r w:rsidRPr="00FA456F">
        <w:rPr>
          <w:rFonts w:eastAsiaTheme="minorEastAsia" w:cstheme="minorHAnsi"/>
          <w:sz w:val="24"/>
          <w:szCs w:val="24"/>
        </w:rPr>
        <w:t>k,</w:t>
      </w:r>
      <w:r>
        <w:rPr>
          <w:rFonts w:eastAsiaTheme="minorEastAsia" w:cstheme="minorHAnsi"/>
          <w:sz w:val="24"/>
          <w:szCs w:val="24"/>
        </w:rPr>
        <w:t xml:space="preserve"> </w:t>
      </w:r>
      <w:r w:rsidRPr="00CD42F0">
        <w:rPr>
          <w:rFonts w:eastAsiaTheme="minorEastAsia" w:cstheme="minorHAnsi"/>
          <w:sz w:val="24"/>
          <w:szCs w:val="24"/>
        </w:rPr>
        <w:t>com a seguinte latência admitida:</w:t>
      </w:r>
    </w:p>
    <w:p w14:paraId="04818A6E"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IO: 1,06 ms;</w:t>
      </w:r>
    </w:p>
    <w:p w14:paraId="78A862AB"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Read: 1,38 ms;</w:t>
      </w:r>
    </w:p>
    <w:p w14:paraId="6EDE299D"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Write: 0,81 ms;</w:t>
      </w:r>
    </w:p>
    <w:p w14:paraId="5BEF50AA" w14:textId="77777777" w:rsidR="00FA456F" w:rsidRPr="00CD42F0" w:rsidRDefault="00FA456F" w:rsidP="00FA456F">
      <w:pPr>
        <w:pStyle w:val="PargrafodaLista"/>
        <w:numPr>
          <w:ilvl w:val="0"/>
          <w:numId w:val="25"/>
        </w:numPr>
        <w:rPr>
          <w:rFonts w:eastAsiaTheme="minorEastAsia" w:cstheme="minorHAnsi"/>
          <w:sz w:val="24"/>
          <w:szCs w:val="24"/>
        </w:rPr>
      </w:pPr>
      <w:bookmarkStart w:id="100" w:name="_gjdgxs" w:colFirst="0" w:colLast="0"/>
      <w:bookmarkEnd w:id="100"/>
      <w:r w:rsidRPr="00CD42F0">
        <w:rPr>
          <w:rFonts w:eastAsiaTheme="minorEastAsia" w:cstheme="minorHAnsi"/>
          <w:sz w:val="24"/>
          <w:szCs w:val="24"/>
        </w:rPr>
        <w:t>A solução de armazenamento deverá possuir escalabilidade suficiente para atingir, no mínimo, 10 PB (dez Petabytes) líquidos, contando apenas com adição de componentes, sem que seja necessária a troca do modelo da solução fornecida, mantendo minimamente a proporção dos tipos de discos aqui especificadas, bem como desempenho mínimo de IOPS descritos no item anterior.</w:t>
      </w:r>
    </w:p>
    <w:p w14:paraId="06F66181"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A escalabilidade acima prevista é baseada no crescimento proporcional da demanda de armazenamento de dados deste PJMT, considerando os últimos 6 (seis) anos.</w:t>
      </w:r>
      <w:r w:rsidRPr="00CD42F0">
        <w:rPr>
          <w:rFonts w:eastAsiaTheme="minorEastAsia" w:cstheme="minorHAnsi"/>
          <w:b/>
          <w:bCs/>
          <w:color w:val="FF0000"/>
          <w:sz w:val="24"/>
          <w:szCs w:val="24"/>
        </w:rPr>
        <w:t xml:space="preserve"> </w:t>
      </w:r>
    </w:p>
    <w:p w14:paraId="350739E0"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Cada storage que compõe a solução deverá possuir, no mínimo, duas controladoras de discos para processamento de IO, garantindo assim a alta disponibilidade da solução. </w:t>
      </w:r>
    </w:p>
    <w:p w14:paraId="71442010"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Os storages devem estar configurados no modo de operação de cluster R/W (read/write) Ativo/Ativo;</w:t>
      </w:r>
    </w:p>
    <w:p w14:paraId="5D8EEFE9"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Por se tratar de estrutura com dois Datacenters (interligados por fibra apagada), a solução deverá atender replicação de dados Ativo/Ativo entre os sites;</w:t>
      </w:r>
    </w:p>
    <w:p w14:paraId="4F969F47"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deverá possuir sistema operacional nativo do produto, do mesmo fabricante, não se permitindo as modalidades OEM de sistemas operacionais de propósito geral;</w:t>
      </w:r>
    </w:p>
    <w:p w14:paraId="60693444"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Integrar-se com serviços de diretório para promover a autenticação dos usuários, além de herdar o permissionamento de Grupo para pastas e compartilhamentos. Os serviços de diretório suportados deverão ser: Active Directory da Microsoft, LDAP e autenticação local; </w:t>
      </w:r>
    </w:p>
    <w:p w14:paraId="3F070DDD"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Possibilitar integração com sistemas de antivírus, de forma que qualquer arquivo que seja manipulado pelo usuário seja verificado por um processo de procura e verificação de vírus. A solução deverá ser compatível com os antivírus dos seguintes fabricantes: Kaspersky, Symantec, TrendMicro e McAfee;</w:t>
      </w:r>
    </w:p>
    <w:p w14:paraId="0CABA61D"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Será permitido utilização de scripts para integração com os antivírus listados no item anterior, para verificação periódica (conforme determinação dessa administração), em lote de arquivos (bulk-scan).</w:t>
      </w:r>
    </w:p>
    <w:p w14:paraId="30105D4F"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arquitetura física do hardware da solução não deverá ter ponto único de falha, de forma que a falha de algum dos componentes não impeça o seu completo funcionamento, com capacidade de failover automático de controladora e mecanismo de proteção de cache em caso de falha de energia ou falha de qualquer outro componente do storage, de tal maneira que seu regime de funcionamento seja em modalidade ininterrupta (24/7);</w:t>
      </w:r>
    </w:p>
    <w:p w14:paraId="7ED87111" w14:textId="77777777" w:rsidR="00FA456F" w:rsidRPr="00CD42F0" w:rsidRDefault="00FA456F" w:rsidP="00FA456F">
      <w:pPr>
        <w:pStyle w:val="PargrafodaLista"/>
        <w:numPr>
          <w:ilvl w:val="0"/>
          <w:numId w:val="25"/>
        </w:numPr>
        <w:rPr>
          <w:rFonts w:eastAsiaTheme="minorEastAsia" w:cstheme="minorHAnsi"/>
          <w:color w:val="000000" w:themeColor="text1"/>
          <w:sz w:val="24"/>
          <w:szCs w:val="24"/>
        </w:rPr>
      </w:pPr>
      <w:r w:rsidRPr="00CD42F0">
        <w:rPr>
          <w:rFonts w:eastAsiaTheme="minorEastAsia" w:cstheme="minorHAnsi"/>
          <w:sz w:val="24"/>
          <w:szCs w:val="24"/>
        </w:rPr>
        <w:t>A solução deve permitir manutenção, reparo, substituição e acréscimo de componentes, incluindo controladoras, discos, fontes e ventiladores, com o sistema em operação onde eventuais falhas sejam imperceptíveis para os usuários finais, ou seja, os componentes devem ser “Hot Swappable”;</w:t>
      </w:r>
    </w:p>
    <w:p w14:paraId="5076A36B"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Realizar a expansão da área útil de armazenamento de forma não disruptiva (sem interrupção no funcionamento do sistema), ou seja, não serão aceitas soluções que exijam qualquer procedimento de "reboot" ou mesmo soluções que exijam o desmapeamento de unidades lógicas ou "mountpoints" de rede para reconhecimento da área de armazenamento expandida;</w:t>
      </w:r>
    </w:p>
    <w:p w14:paraId="72681EA7"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Possuir monitoramento proativo que permita a detecção e isolamento de falhas até mesmo antes que elas ocorram. Tal função abrangerá desde o auto monitoramento e geração de log de erros, detecção e isolamento de erros de memória, detecção e isolamento de erros em discos, e funcionalidade de conexão automática ao sistema de atendimento e suporte técnico do fabricante (call-home ou similar);</w:t>
      </w:r>
    </w:p>
    <w:p w14:paraId="1F6CE441"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Deve ser possível, também, o envio de e-mail das ocorrências para outros endereços para fins de acompanhamento pela equipe técnica de fiscalização.</w:t>
      </w:r>
    </w:p>
    <w:p w14:paraId="2F7D678F"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Deverá possuir e implementar a funcionalidade de “dynamic global sparing” ou similar, para a alocação dinâmica e automática de discos ou espaços de “hot spare” disponíveis, no caso de perda de quaisquer discos do subsistema, independente da gaveta, slot, ou localização física no array, tanto do disco “hot spare” a ser alocado quanto do disco defeituoso a ser substituído;</w:t>
      </w:r>
    </w:p>
    <w:p w14:paraId="78FA9989"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A solução deverá possuir suporte preditivo, com base em </w:t>
      </w:r>
      <w:r w:rsidRPr="00CD42F0">
        <w:rPr>
          <w:rFonts w:eastAsiaTheme="minorEastAsia" w:cstheme="minorHAnsi"/>
          <w:i/>
          <w:iCs/>
          <w:sz w:val="24"/>
          <w:szCs w:val="24"/>
        </w:rPr>
        <w:t>Machine Learning</w:t>
      </w:r>
      <w:r w:rsidRPr="00CD42F0">
        <w:rPr>
          <w:rFonts w:eastAsiaTheme="minorEastAsia" w:cstheme="minorHAnsi"/>
          <w:sz w:val="24"/>
          <w:szCs w:val="24"/>
        </w:rPr>
        <w:t xml:space="preserve">, de modo a otimizar a utilização do equipamento contratado, antecipando ações corretivas de falhas, </w:t>
      </w:r>
      <w:r w:rsidRPr="00CD42F0">
        <w:rPr>
          <w:rFonts w:eastAsiaTheme="minorEastAsia" w:cstheme="minorHAnsi"/>
          <w:bCs/>
          <w:sz w:val="24"/>
          <w:szCs w:val="24"/>
        </w:rPr>
        <w:t>antecipação de inconformidade de uso e advertir analisando tendências e análise de padrões de utilização.</w:t>
      </w:r>
    </w:p>
    <w:p w14:paraId="40E10CA3"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deverá fornecer / entregar insights / relatórios sobre o uso e desempenho de armazenamento, minimamente com as seguintes informações:</w:t>
      </w:r>
    </w:p>
    <w:p w14:paraId="14AEAA66"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Quantidade de requisições;</w:t>
      </w:r>
    </w:p>
    <w:p w14:paraId="0BCBD516"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Performance de gravação / leitura;</w:t>
      </w:r>
    </w:p>
    <w:p w14:paraId="25BA7227"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Classificação do tipo de dados armazenados;</w:t>
      </w:r>
    </w:p>
    <w:p w14:paraId="7CBA0EBE"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Tendências;</w:t>
      </w:r>
    </w:p>
    <w:p w14:paraId="08D4814B"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Fazer upload de logs automaticamente quando os chamados de suporte são criados ou atualizados.</w:t>
      </w:r>
    </w:p>
    <w:p w14:paraId="5B70CDDF" w14:textId="77777777" w:rsidR="00FA456F" w:rsidRPr="00CD42F0" w:rsidRDefault="00FA456F" w:rsidP="00FA456F">
      <w:pPr>
        <w:pBdr>
          <w:top w:val="nil"/>
          <w:left w:val="nil"/>
          <w:bottom w:val="nil"/>
          <w:right w:val="nil"/>
          <w:between w:val="nil"/>
        </w:pBdr>
        <w:ind w:left="916"/>
        <w:jc w:val="both"/>
        <w:rPr>
          <w:rFonts w:eastAsiaTheme="minorEastAsia" w:cstheme="minorHAnsi"/>
          <w:color w:val="000000" w:themeColor="text1"/>
          <w:sz w:val="24"/>
          <w:szCs w:val="24"/>
        </w:rPr>
      </w:pPr>
    </w:p>
    <w:p w14:paraId="1196C3A0"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Compatibilidade</w:t>
      </w:r>
    </w:p>
    <w:p w14:paraId="5FDB7BE8"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deverá ser compatível com:</w:t>
      </w:r>
    </w:p>
    <w:p w14:paraId="022D68A0"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Software de backup utilizado pelo PJMT, NetBackup Veritas na versão 8.1 e superiores;</w:t>
      </w:r>
    </w:p>
    <w:p w14:paraId="23136079" w14:textId="77777777" w:rsidR="00FA456F" w:rsidRPr="00CD42F0" w:rsidRDefault="00FA456F" w:rsidP="00FA456F">
      <w:pPr>
        <w:pStyle w:val="PargrafodaLista"/>
        <w:numPr>
          <w:ilvl w:val="1"/>
          <w:numId w:val="25"/>
        </w:numPr>
        <w:rPr>
          <w:rFonts w:eastAsiaTheme="minorEastAsia"/>
          <w:sz w:val="24"/>
          <w:szCs w:val="24"/>
        </w:rPr>
      </w:pPr>
      <w:r w:rsidRPr="00CD42F0">
        <w:rPr>
          <w:rFonts w:eastAsiaTheme="minorEastAsia"/>
          <w:sz w:val="24"/>
          <w:szCs w:val="24"/>
        </w:rPr>
        <w:t>Solução Riverbed StealFusion, para replicação de dados das unidades judiciais (comarcas) atravé do protocolo iSCSI;</w:t>
      </w:r>
    </w:p>
    <w:p w14:paraId="3968CB17"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Soluções de virtualização VMware (versão 5.5 ou superior), além de garantir integração com as mesmas.</w:t>
      </w:r>
    </w:p>
    <w:p w14:paraId="044406A1" w14:textId="77777777" w:rsidR="00FA456F" w:rsidRPr="00CD42F0" w:rsidRDefault="00FA456F" w:rsidP="00FA456F">
      <w:pPr>
        <w:jc w:val="both"/>
        <w:rPr>
          <w:rFonts w:eastAsiaTheme="minorEastAsia" w:cstheme="minorHAnsi"/>
          <w:b/>
          <w:bCs/>
          <w:sz w:val="24"/>
          <w:szCs w:val="24"/>
        </w:rPr>
      </w:pPr>
    </w:p>
    <w:p w14:paraId="40BEF6BA"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Conectividade:</w:t>
      </w:r>
    </w:p>
    <w:p w14:paraId="790C05CC"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A rede de comunicação front-end da solução deverá ser implantada, em cada “cluster” / Datacenter, com, no mínimo: </w:t>
      </w:r>
    </w:p>
    <w:p w14:paraId="5D476735"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4 (quatro) portas ethernet front-end de velocidade mínima de 10Gbps (dez gigabits por segundo) por porta;</w:t>
      </w:r>
    </w:p>
    <w:p w14:paraId="174F3F16" w14:textId="77777777" w:rsidR="00FA456F" w:rsidRPr="00CD42F0" w:rsidRDefault="00FA456F" w:rsidP="00FA456F">
      <w:pPr>
        <w:pStyle w:val="PargrafodaLista"/>
        <w:numPr>
          <w:ilvl w:val="2"/>
          <w:numId w:val="25"/>
        </w:numPr>
        <w:rPr>
          <w:rFonts w:eastAsiaTheme="minorEastAsia" w:cstheme="minorHAnsi"/>
          <w:sz w:val="24"/>
          <w:szCs w:val="24"/>
        </w:rPr>
      </w:pPr>
      <w:r w:rsidRPr="00CD42F0">
        <w:rPr>
          <w:rFonts w:eastAsiaTheme="minorEastAsia" w:cstheme="minorHAnsi"/>
          <w:sz w:val="24"/>
          <w:szCs w:val="24"/>
        </w:rPr>
        <w:t>A solução deve ser entregue com todos os conectores necessários para comunicação com os Switches Core CISCO/NEXUS 93180YC-FX deste PJMT.</w:t>
      </w:r>
    </w:p>
    <w:p w14:paraId="5633F8DF"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18 (dezoito) portas Fiber Channel (FC) de 16 Gbps;</w:t>
      </w:r>
    </w:p>
    <w:p w14:paraId="22DF6099" w14:textId="77777777" w:rsidR="00FA456F" w:rsidRPr="00CD42F0" w:rsidRDefault="00FA456F" w:rsidP="00FA456F">
      <w:pPr>
        <w:pStyle w:val="PargrafodaLista"/>
        <w:numPr>
          <w:ilvl w:val="2"/>
          <w:numId w:val="25"/>
        </w:numPr>
        <w:rPr>
          <w:rFonts w:eastAsiaTheme="minorEastAsia" w:cstheme="minorHAnsi"/>
          <w:sz w:val="24"/>
          <w:szCs w:val="24"/>
        </w:rPr>
      </w:pPr>
      <w:r w:rsidRPr="00CD42F0">
        <w:rPr>
          <w:rFonts w:eastAsiaTheme="minorEastAsia" w:cstheme="minorHAnsi"/>
          <w:sz w:val="24"/>
          <w:szCs w:val="24"/>
        </w:rPr>
        <w:t>Das 18 (dezoito) portas Fiber Channel solicitadas, 2 (duas) serão dedicadas para replicação de dados.</w:t>
      </w:r>
    </w:p>
    <w:p w14:paraId="6E89A266" w14:textId="77777777" w:rsidR="00FA456F" w:rsidRPr="00CD42F0" w:rsidRDefault="00FA456F" w:rsidP="00FA456F">
      <w:pPr>
        <w:pStyle w:val="PargrafodaLista"/>
        <w:numPr>
          <w:ilvl w:val="2"/>
          <w:numId w:val="25"/>
        </w:numPr>
        <w:rPr>
          <w:rFonts w:eastAsiaTheme="minorEastAsia" w:cstheme="minorHAnsi"/>
          <w:sz w:val="24"/>
          <w:szCs w:val="24"/>
        </w:rPr>
      </w:pPr>
      <w:r w:rsidRPr="00CD42F0">
        <w:rPr>
          <w:rFonts w:eastAsiaTheme="minorEastAsia" w:cstheme="minorHAnsi"/>
          <w:sz w:val="24"/>
          <w:szCs w:val="24"/>
        </w:rPr>
        <w:t>A solução deve ser entregue com todos os conectores necessários para comunicação com os Switches SAN Brocade DCX8510-4 deste PJMT.</w:t>
      </w:r>
    </w:p>
    <w:p w14:paraId="31281493" w14:textId="77777777" w:rsidR="00FA456F" w:rsidRPr="00CD42F0" w:rsidRDefault="00FA456F" w:rsidP="00FA456F">
      <w:pPr>
        <w:pStyle w:val="PargrafodaLista"/>
        <w:numPr>
          <w:ilvl w:val="0"/>
          <w:numId w:val="25"/>
        </w:numPr>
        <w:rPr>
          <w:rFonts w:eastAsiaTheme="minorEastAsia"/>
          <w:sz w:val="24"/>
          <w:szCs w:val="24"/>
        </w:rPr>
      </w:pPr>
      <w:r w:rsidRPr="00CD42F0">
        <w:rPr>
          <w:rFonts w:eastAsiaTheme="minorEastAsia"/>
          <w:sz w:val="24"/>
          <w:szCs w:val="24"/>
        </w:rPr>
        <w:t>Todas as portas devem estar ativas, licenciadas e disponíveis para tráfego de dados.</w:t>
      </w:r>
    </w:p>
    <w:p w14:paraId="69AA0612"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rede interna de comunicação, que proporciona a sincronização do trabalho entre os nós do cluster, deverá ser exclusiva, especialmente desenhada e implantada separada da rede de serviços de compartilhamento de áreas de armazenamento.</w:t>
      </w:r>
    </w:p>
    <w:p w14:paraId="3AB7C2FF" w14:textId="77777777" w:rsidR="00FA456F" w:rsidRPr="00CD42F0" w:rsidRDefault="00FA456F" w:rsidP="00FA456F">
      <w:pPr>
        <w:ind w:firstLine="709"/>
        <w:jc w:val="both"/>
        <w:rPr>
          <w:rFonts w:eastAsiaTheme="minorEastAsia" w:cstheme="minorHAnsi"/>
          <w:sz w:val="24"/>
          <w:szCs w:val="24"/>
        </w:rPr>
      </w:pPr>
    </w:p>
    <w:p w14:paraId="36C07E0A"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Unidades de Discos Magnéticos</w:t>
      </w:r>
    </w:p>
    <w:p w14:paraId="11B01177"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A capacidade de armazenamento solicitada deverá ser fornecida em diferentes tipos de HDs, respeitando as porcentagens </w:t>
      </w:r>
      <w:r w:rsidRPr="00CD42F0">
        <w:rPr>
          <w:rFonts w:cstheme="minorHAnsi"/>
        </w:rPr>
        <w:t>a</w:t>
      </w:r>
      <w:r w:rsidRPr="00CD42F0">
        <w:rPr>
          <w:rFonts w:eastAsiaTheme="minorEastAsia" w:cstheme="minorHAnsi"/>
          <w:sz w:val="24"/>
          <w:szCs w:val="24"/>
        </w:rPr>
        <w:t>presentadas a seguir:</w:t>
      </w:r>
    </w:p>
    <w:p w14:paraId="2A9AAED0"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CAMADA 1 - Discos SSD (Solid State Disk). Serão necessários no mínimo 10% (dez por cento) da capacidade líquida do equipamento para essa camada de armazenamento;</w:t>
      </w:r>
    </w:p>
    <w:p w14:paraId="0B313E54"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CAMADA 2 – Discos SAS (Serial Attached SCSI). Serão necessários no mínimo 20% (vinte por cento) da capacidade líquida do equipamento para essa camada de armazenamento.</w:t>
      </w:r>
    </w:p>
    <w:p w14:paraId="7B30CB0B"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CAMADA 3 – Discos SATA (Serial AT Attachement) ou NL-SAS (Near Line Serial Attached SCSI). Para essa camada de discos é necessário completar a capacidade líquida solicitada para o módulo.</w:t>
      </w:r>
    </w:p>
    <w:p w14:paraId="19EA5D7C"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Os percentuais acima apresentados devem ser considerados nos três momentos de implantação (instalação da solução com controladoras, além das duas expansões).</w:t>
      </w:r>
    </w:p>
    <w:p w14:paraId="4F111485"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deverá ser dotada de capacidade para recuperar toda e qualquer informação / dado no caso de falha simultânea de dois discos (dupla paridade), de modo a garantir a proteção dos dados, seja através de solução via hardware ou software.</w:t>
      </w:r>
    </w:p>
    <w:p w14:paraId="5D4D0E2D"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Em casos de utilização de discos de spare, os mesmos deverão ser fornecidos além da capacidade líquida de armazenamento solicitada e os discos deverão obedecer às características e tamanhos especificados no edital.</w:t>
      </w:r>
    </w:p>
    <w:p w14:paraId="7025C8B5"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Deverá ser permitida a troca de disco (HD), avariado, pertencente a um array disk, sem interrupção da aplicação que está acessando o array, sem que haja interrupção das operações de I/O que estiverem acessando o módulo.</w:t>
      </w:r>
    </w:p>
    <w:p w14:paraId="7491CB53" w14:textId="77777777" w:rsidR="00FA456F" w:rsidRPr="00CD42F0" w:rsidRDefault="00FA456F" w:rsidP="00FA456F">
      <w:pPr>
        <w:jc w:val="both"/>
        <w:rPr>
          <w:rFonts w:eastAsiaTheme="minorEastAsia" w:cstheme="minorHAnsi"/>
          <w:b/>
          <w:bCs/>
          <w:sz w:val="24"/>
          <w:szCs w:val="24"/>
        </w:rPr>
      </w:pPr>
    </w:p>
    <w:p w14:paraId="18322DDC"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Memória Cache</w:t>
      </w:r>
    </w:p>
    <w:p w14:paraId="58160A64"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memória cache deve estar disponível para todo e qualquer volume do equipamento, independente dos discos que o compõem.</w:t>
      </w:r>
    </w:p>
    <w:p w14:paraId="60998461"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Escrita em locais redundantes, isto é, toda a operação de escrita deverá ser gravada em duas áreas de memória localizadas em controladoras distintas, de maneira a assegurar disponibilidade em caso de falta de energia elétrica, falha ou perda de um desses níveis o outro, garantindo a integridade e recuperação dos dados gravados em cache.</w:t>
      </w:r>
    </w:p>
    <w:p w14:paraId="7C786636"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Em caso de falha de alimentação elétrica deve garantir a preservação de dados ainda não gravados em disco por período de pelo menos 24 (vinte e quatro) horas.</w:t>
      </w:r>
    </w:p>
    <w:p w14:paraId="31F611D1"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memória cache deverá ser protegida com ECC (Error Correction Code) ou similar.</w:t>
      </w:r>
    </w:p>
    <w:p w14:paraId="48163D7E" w14:textId="77777777" w:rsidR="00FA456F" w:rsidRPr="00CD42F0" w:rsidRDefault="00FA456F" w:rsidP="00FA456F">
      <w:pPr>
        <w:pBdr>
          <w:top w:val="nil"/>
          <w:left w:val="nil"/>
          <w:bottom w:val="nil"/>
          <w:right w:val="nil"/>
          <w:between w:val="nil"/>
        </w:pBdr>
        <w:jc w:val="both"/>
        <w:rPr>
          <w:rFonts w:eastAsiaTheme="minorEastAsia" w:cstheme="minorHAnsi"/>
          <w:color w:val="000000" w:themeColor="text1"/>
          <w:sz w:val="24"/>
          <w:szCs w:val="24"/>
        </w:rPr>
      </w:pPr>
    </w:p>
    <w:p w14:paraId="1841D7F4"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Funcionalidades Obrigatórias</w:t>
      </w:r>
    </w:p>
    <w:p w14:paraId="31066290"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Suportar nativamente os seguintes protocolos:</w:t>
      </w:r>
    </w:p>
    <w:p w14:paraId="5D000D9F"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FC ou FCP (Fiber Channel Protocol);</w:t>
      </w:r>
    </w:p>
    <w:p w14:paraId="66176866"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 xml:space="preserve">iSCSI (Internet Small Computer System Interface); </w:t>
      </w:r>
    </w:p>
    <w:p w14:paraId="2B0CF084"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IP (Internet Protocol) v4 e v6;</w:t>
      </w:r>
    </w:p>
    <w:p w14:paraId="2A73BB2A"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HTTP (Hypertext Transfer Protocol);</w:t>
      </w:r>
    </w:p>
    <w:p w14:paraId="34E0117A"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Kerberos;</w:t>
      </w:r>
    </w:p>
    <w:p w14:paraId="130B3949"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SNMP (Single Network Management Protocol) ou SMI-S (Storage Management Initiative Specification);</w:t>
      </w:r>
    </w:p>
    <w:p w14:paraId="30A14F55"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As implementações dos protocolos SAN deverão ser nativas do produto. As implementações devem ser totalmente compatíveis com todas as demais funcionalidades do produto. Caso sejam fornecidos gateways na solução, estes deverão ser do mesmo fabricante do equipamento, e deverão garantir o desempenho mínimo exigido neste documento.</w:t>
      </w:r>
      <w:r w:rsidRPr="00CD42F0">
        <w:rPr>
          <w:rFonts w:eastAsiaTheme="minorEastAsia" w:cstheme="minorHAnsi"/>
          <w:color w:val="FF0000"/>
          <w:sz w:val="24"/>
          <w:szCs w:val="24"/>
        </w:rPr>
        <w:t xml:space="preserve"> </w:t>
      </w:r>
    </w:p>
    <w:p w14:paraId="376D30FE"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Disponibilizar mecanismo de Encriptação de Dados “At Rest” e que permita o Apagamento Seguro (Secure Erase);</w:t>
      </w:r>
    </w:p>
    <w:p w14:paraId="72FD5431"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Os subsistemas devem implementar mecanismos de proteção - LUN masking - entre volumes, de forma que os mesmos sejam visíveis ou utilizáveis apenas pelos hosts para os quais estejam destinados;</w:t>
      </w:r>
    </w:p>
    <w:p w14:paraId="7B93C66C"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Possibilitar a implantação de snapshots “point-in-time” (ou equivalente), por volume, para todas as LUNs disponibilizadas;</w:t>
      </w:r>
    </w:p>
    <w:p w14:paraId="6F30095A"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Provisionamento Dinâmico</w:t>
      </w:r>
    </w:p>
    <w:p w14:paraId="20E3C619"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Deverá permitir que o administrador aprovisione uma capacidade de armazenamento maior do que a capacidade efetiva do equipamento.</w:t>
      </w:r>
    </w:p>
    <w:p w14:paraId="5D335F0F"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 xml:space="preserve">Deverá também distinguir o espaço alocado ao espaço consumido, por usuário ou na total capacidade do equipamento, e possibilitar a criação e customização de avisos / alertas quando a área alocada atingir uma determinada porcentagem de consumo. </w:t>
      </w:r>
    </w:p>
    <w:p w14:paraId="16D2A236"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Replicação Síncrona e Assíncrona</w:t>
      </w:r>
    </w:p>
    <w:p w14:paraId="29A5AA57"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Deverá suportar a funcionalidade de replicação síncrona e assíncrona para 100% de sua capacidade líquida entre os módulos de armazenamento distintos, situados em cada localidade remota (Fórum da Capital e Tribunal de Justiça.</w:t>
      </w:r>
    </w:p>
    <w:p w14:paraId="53849256"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Tierização</w:t>
      </w:r>
    </w:p>
    <w:p w14:paraId="1FEED911"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O sistema de armazenamento de dados deverá permitir movimentação de blocos, de forma automatizada, entre os diferentes níveis (“tiers”) de armazenamento do sistema (SSD, SAS e SATA/NL-SAS), de acordo com a demanda de acesso aos dados baseado em QoS (Quality of Service) ou políticas definidas pelos administradores.</w:t>
      </w:r>
    </w:p>
    <w:p w14:paraId="290A2344"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Otimização da capacidade de armazenamento</w:t>
      </w:r>
    </w:p>
    <w:p w14:paraId="04F7A320"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A solução deverá ser capaz de permitir a compressão ou desduplicação de arquivos determinado por políticas criadas pelos administradores do sistema.</w:t>
      </w:r>
    </w:p>
    <w:p w14:paraId="2B39B7AD" w14:textId="77777777" w:rsidR="00FA456F" w:rsidRPr="00CD42F0" w:rsidRDefault="00FA456F" w:rsidP="00FA456F">
      <w:pPr>
        <w:jc w:val="both"/>
        <w:rPr>
          <w:rFonts w:eastAsiaTheme="minorEastAsia" w:cstheme="minorHAnsi"/>
          <w:b/>
          <w:bCs/>
          <w:sz w:val="24"/>
          <w:szCs w:val="24"/>
        </w:rPr>
      </w:pPr>
    </w:p>
    <w:p w14:paraId="60483266"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Gerenciamento e Auditoria</w:t>
      </w:r>
    </w:p>
    <w:p w14:paraId="4CC268FE"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A solução de armazenamento de dados deverá permitir gerenciamento centralizado, configuração básica e avançada do sistema através de interface gráfica (baseada no protocolo HTTP ou HTTPS), por meio de conexão de rede Ethernet LAN. </w:t>
      </w:r>
    </w:p>
    <w:p w14:paraId="5942AE5D"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Tal interface deve permitir análises de desempenho do módulo, em tempo real e por histórico em intervalos de hora, dia, semana e mês, disponibilizando informações sobre I/Os, tempo de resposta, consumo de discos e volumes, taxas de utilização dos discos, assim como demais recursos do equipamento. </w:t>
      </w:r>
    </w:p>
    <w:p w14:paraId="6E281AAC"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deverá suportar API a fim que se possa criar aplicações que interajam com o ambiente e possam automatizar tarefas de administração.</w:t>
      </w:r>
    </w:p>
    <w:p w14:paraId="1394201D"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Também deverá permitir administração, segurança e controle de acesso aos volumes lógicos de forma a manter isoladas as diferentes partições associadas a diferentes servidores e sistemas operacionais, em toda e qualquer eventualidade.</w:t>
      </w:r>
    </w:p>
    <w:p w14:paraId="34A0B41B"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 sistema de armazenamento de arquivos deverá suportar, através da interface gráfica citada anteriormente, o gerenciamento de cotas definidas pelo administrador, a serem aplicadas no sistema de arquivos distribuído, assim como a criação de níveis de acesso de usuários.</w:t>
      </w:r>
    </w:p>
    <w:p w14:paraId="142A32CC" w14:textId="77777777" w:rsidR="00FA456F" w:rsidRPr="00CD42F0" w:rsidRDefault="00FA456F" w:rsidP="00FA456F">
      <w:pPr>
        <w:pStyle w:val="PargrafodaLista"/>
        <w:numPr>
          <w:ilvl w:val="0"/>
          <w:numId w:val="25"/>
        </w:numPr>
        <w:rPr>
          <w:rFonts w:eastAsiaTheme="minorEastAsia"/>
          <w:sz w:val="24"/>
          <w:szCs w:val="24"/>
        </w:rPr>
      </w:pPr>
      <w:r w:rsidRPr="00CD42F0">
        <w:rPr>
          <w:rFonts w:eastAsiaTheme="minorEastAsia"/>
          <w:sz w:val="24"/>
          <w:szCs w:val="24"/>
        </w:rPr>
        <w:t>A solução deverá ter integrado um subsistema de auditoria:</w:t>
      </w:r>
    </w:p>
    <w:p w14:paraId="31EB7E6C" w14:textId="77777777" w:rsidR="00FA456F" w:rsidRPr="00CD42F0" w:rsidRDefault="00FA456F" w:rsidP="00FA456F">
      <w:pPr>
        <w:pStyle w:val="PargrafodaLista"/>
        <w:numPr>
          <w:ilvl w:val="1"/>
          <w:numId w:val="25"/>
        </w:numPr>
        <w:rPr>
          <w:rFonts w:eastAsiaTheme="minorEastAsia"/>
          <w:sz w:val="24"/>
          <w:szCs w:val="24"/>
        </w:rPr>
      </w:pPr>
      <w:r w:rsidRPr="00CD42F0">
        <w:rPr>
          <w:rFonts w:eastAsiaTheme="minorEastAsia"/>
          <w:sz w:val="24"/>
          <w:szCs w:val="24"/>
        </w:rPr>
        <w:t>Deverão ser auditados procedimentos como criação e exclusão de LUNs, “snapshots”, logins de acesso de gerenciamento, ou seja, horário de eventos de gerenciamento;</w:t>
      </w:r>
    </w:p>
    <w:p w14:paraId="325DC58F"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Os dados coletados pelo subsistema de auditoria podem ser automaticamente exportados para sistemas centralizados de armazenamento de log de terceiros, através dos protocolos padrões de mercado para este fim.</w:t>
      </w:r>
    </w:p>
    <w:p w14:paraId="5270CDFF"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deverá permitir acesso via SSH para administração remota.</w:t>
      </w:r>
    </w:p>
    <w:p w14:paraId="4C9BA1AD" w14:textId="77777777" w:rsidR="00FA456F" w:rsidRPr="00CD42F0" w:rsidRDefault="00FA456F" w:rsidP="00FA456F">
      <w:pPr>
        <w:ind w:firstLine="709"/>
        <w:jc w:val="both"/>
        <w:rPr>
          <w:rFonts w:cstheme="minorHAnsi"/>
          <w:sz w:val="24"/>
          <w:szCs w:val="24"/>
        </w:rPr>
      </w:pPr>
    </w:p>
    <w:p w14:paraId="09965539"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Licenciamento</w:t>
      </w:r>
    </w:p>
    <w:p w14:paraId="67502A58"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solução deverá ter todas as funcionalidades de software e hardware descritas nesta especificação técnica licenciadas para utilização em sua capacidade máxima fornecida com relação ao número de discos, de servidores físicos que podem se conectar ao sistema, e capacidade de armazenamento especificadas.</w:t>
      </w:r>
    </w:p>
    <w:p w14:paraId="09756C7B"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Também deverá prever licenciamento de todas as portas e funcionalidades da solução, prevista neste documento.</w:t>
      </w:r>
    </w:p>
    <w:p w14:paraId="78CF5D7B"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Todo o hardware e software adicionais que porventura sejam necessários para o pleno funcionamento da solução ofertada deverão ser entregues pela contratada, sem custo adicional para ao TJMT, considerando-se os mesmos níveis de suporte e de redundância previstos neste termo de referência. </w:t>
      </w:r>
    </w:p>
    <w:p w14:paraId="46423DBB" w14:textId="77777777" w:rsidR="00FA456F" w:rsidRPr="00CD42F0" w:rsidRDefault="00FA456F" w:rsidP="00FA456F">
      <w:pPr>
        <w:jc w:val="both"/>
        <w:rPr>
          <w:rFonts w:eastAsiaTheme="minorEastAsia" w:cstheme="minorHAnsi"/>
          <w:b/>
          <w:bCs/>
          <w:sz w:val="24"/>
          <w:szCs w:val="24"/>
        </w:rPr>
      </w:pPr>
    </w:p>
    <w:p w14:paraId="7647071F" w14:textId="77777777" w:rsidR="00FA456F" w:rsidRPr="00CD42F0" w:rsidRDefault="00FA456F" w:rsidP="00FA456F">
      <w:pPr>
        <w:jc w:val="both"/>
        <w:rPr>
          <w:rFonts w:eastAsiaTheme="minorEastAsia"/>
          <w:sz w:val="24"/>
          <w:szCs w:val="24"/>
          <w:lang w:val="en-US"/>
        </w:rPr>
      </w:pPr>
      <w:r w:rsidRPr="00CD42F0">
        <w:rPr>
          <w:rFonts w:eastAsiaTheme="minorEastAsia"/>
          <w:b/>
          <w:bCs/>
          <w:i/>
          <w:iCs/>
          <w:sz w:val="24"/>
          <w:szCs w:val="24"/>
          <w:lang w:val="en-US"/>
        </w:rPr>
        <w:t>Moving</w:t>
      </w:r>
      <w:r w:rsidRPr="00CD42F0">
        <w:rPr>
          <w:rFonts w:eastAsiaTheme="minorEastAsia"/>
          <w:b/>
          <w:bCs/>
          <w:sz w:val="24"/>
          <w:szCs w:val="24"/>
          <w:lang w:val="en-US"/>
        </w:rPr>
        <w:t xml:space="preserve"> dos Storages VSP e AMS 1000</w:t>
      </w:r>
    </w:p>
    <w:p w14:paraId="1DE92873" w14:textId="77777777" w:rsidR="00FA456F" w:rsidRPr="00CD42F0" w:rsidRDefault="00FA456F" w:rsidP="00FA456F">
      <w:pPr>
        <w:ind w:firstLine="709"/>
        <w:jc w:val="both"/>
        <w:rPr>
          <w:rFonts w:eastAsiaTheme="minorEastAsia"/>
          <w:sz w:val="24"/>
          <w:szCs w:val="24"/>
        </w:rPr>
      </w:pPr>
      <w:r w:rsidRPr="00CD42F0">
        <w:rPr>
          <w:rFonts w:eastAsiaTheme="minorEastAsia"/>
          <w:sz w:val="24"/>
          <w:szCs w:val="24"/>
        </w:rPr>
        <w:t>Conforme já descrito neste Estudo Preliminar, a empresa contratada terá a responsabilidade de remover os storages VSP, hoje instalados nos Datacenters do Fórum da Capital e do Tribunal de Justiça de Mato Grosso (2 racks em cada), assim como os storages AMS 1000, alocados no antigo Datacenter do Fórum da Capital.</w:t>
      </w:r>
    </w:p>
    <w:p w14:paraId="14C184BE" w14:textId="77777777" w:rsidR="00FA456F" w:rsidRPr="00CD42F0" w:rsidRDefault="00FA456F" w:rsidP="00FA456F">
      <w:pPr>
        <w:ind w:firstLine="709"/>
        <w:jc w:val="both"/>
        <w:rPr>
          <w:rFonts w:eastAsiaTheme="minorEastAsia"/>
          <w:sz w:val="24"/>
          <w:szCs w:val="24"/>
        </w:rPr>
      </w:pPr>
      <w:r w:rsidRPr="00CD42F0">
        <w:rPr>
          <w:rFonts w:eastAsiaTheme="minorEastAsia"/>
          <w:sz w:val="24"/>
          <w:szCs w:val="24"/>
        </w:rPr>
        <w:t>O procedimento de deslocamento deverá atender ao Plano de Implantação (Anexo B).</w:t>
      </w:r>
    </w:p>
    <w:p w14:paraId="5F0E3301" w14:textId="77777777" w:rsidR="00FA456F" w:rsidRPr="00CD42F0" w:rsidRDefault="00FA456F" w:rsidP="00FA456F">
      <w:pPr>
        <w:jc w:val="both"/>
        <w:rPr>
          <w:rFonts w:eastAsiaTheme="minorEastAsia" w:cstheme="minorHAnsi"/>
          <w:b/>
          <w:bCs/>
          <w:sz w:val="24"/>
          <w:szCs w:val="24"/>
        </w:rPr>
      </w:pPr>
    </w:p>
    <w:p w14:paraId="3EC7A03B" w14:textId="77777777" w:rsidR="00FA456F" w:rsidRPr="00CD42F0" w:rsidRDefault="00FA456F" w:rsidP="00FA456F">
      <w:pPr>
        <w:jc w:val="both"/>
        <w:rPr>
          <w:rFonts w:eastAsiaTheme="minorEastAsia" w:cstheme="minorHAnsi"/>
          <w:b/>
          <w:bCs/>
          <w:sz w:val="24"/>
          <w:szCs w:val="24"/>
        </w:rPr>
      </w:pPr>
      <w:r w:rsidRPr="00CD42F0">
        <w:rPr>
          <w:rFonts w:eastAsiaTheme="minorEastAsia" w:cstheme="minorHAnsi"/>
          <w:b/>
          <w:bCs/>
          <w:sz w:val="24"/>
          <w:szCs w:val="24"/>
        </w:rPr>
        <w:t xml:space="preserve">Capacitação </w:t>
      </w:r>
    </w:p>
    <w:p w14:paraId="0B5ABC5F"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capacitação sobre todas as funcionalidades e softwares descritos neste documento ficará a cargo da CONTRATADA e deverá ser feita utilizando equipe e profissionais treinados e autorizados pelo fabricante do equipamento. Deverão também ser abordados todos os procedimentos necessários para gerenciamento dos serviços ofertados.</w:t>
      </w:r>
    </w:p>
    <w:p w14:paraId="32F9402F"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capacitação deverá ser realizada para 04 (quatro) servidores do TJMT, pertencentes à Coordenadoria de Tecnologia da Informação.</w:t>
      </w:r>
    </w:p>
    <w:p w14:paraId="1F202358"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 conteúdo programático deverá ser 50% teórico e 50% prático (podendo ser aceito laboratório remoto) com solução semelhante à ofertada, inclusive quanto às versões dos softwares instalados.</w:t>
      </w:r>
    </w:p>
    <w:p w14:paraId="2EF89966"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capacitação deverá abranger todas as funcionalidades, componentes e softwares da solução ofertada (ainda que a mesma seja composta por mais de um equipamento distinto), em seus aspectos mais relevantes como instalação, configuração, operação e gerenciamento, tomando por base a especificação técnica da solução, e ainda contemplando princípios básicos de funcionamento, noções de manuseio, operação e conservação, principais comandos e procedimentos diários de operação.</w:t>
      </w:r>
    </w:p>
    <w:p w14:paraId="12219AE6"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O escopo desta transferência de conhecimento para instalação, configuração e operação deve prever:</w:t>
      </w:r>
    </w:p>
    <w:p w14:paraId="2E402FEA"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Informativo global dos serviços tecnológicos envolvidos na contratação;</w:t>
      </w:r>
    </w:p>
    <w:p w14:paraId="6F7AECFC"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Compreensão geral do modo de funcionamento e de operação da solução adotada;</w:t>
      </w:r>
    </w:p>
    <w:p w14:paraId="59E27C9A"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Conhecimento e usabilidade dos recursos (hardwares e softwares) envolvidos;</w:t>
      </w:r>
    </w:p>
    <w:p w14:paraId="60D2FFED" w14:textId="77777777" w:rsidR="00FA456F" w:rsidRPr="00CD42F0" w:rsidRDefault="00FA456F" w:rsidP="00FA456F">
      <w:pPr>
        <w:pStyle w:val="PargrafodaLista"/>
        <w:numPr>
          <w:ilvl w:val="1"/>
          <w:numId w:val="25"/>
        </w:numPr>
        <w:rPr>
          <w:rFonts w:eastAsiaTheme="minorEastAsia" w:cstheme="minorHAnsi"/>
          <w:sz w:val="24"/>
          <w:szCs w:val="24"/>
        </w:rPr>
      </w:pPr>
      <w:r w:rsidRPr="00CD42F0">
        <w:rPr>
          <w:rFonts w:eastAsiaTheme="minorEastAsia" w:cstheme="minorHAnsi"/>
          <w:sz w:val="24"/>
          <w:szCs w:val="24"/>
        </w:rPr>
        <w:t>Todas as funcionalidades do sistema, incluindo a visibilidade dos recursos avançados;</w:t>
      </w:r>
    </w:p>
    <w:p w14:paraId="19B11B17"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carga horária deve ser, de no mínimo, 40 horas, a serem distribuídas conforme alinhamento com o fiscal técnico da solução, durante o horário de expediente do TJMT.</w:t>
      </w:r>
    </w:p>
    <w:p w14:paraId="3A68FBBA"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 xml:space="preserve">Deve ser emitido um certificado de participação da conclusão da transferência de conhecimento para cada servidor participante, contendo a empresa ministrante, instrutor, local, data, horário, conteúdo programático e carga horária total. </w:t>
      </w:r>
    </w:p>
    <w:p w14:paraId="688DD527" w14:textId="77777777" w:rsidR="00FA456F" w:rsidRPr="00CD42F0" w:rsidRDefault="00FA456F" w:rsidP="00FA456F">
      <w:pPr>
        <w:pStyle w:val="PargrafodaLista"/>
        <w:numPr>
          <w:ilvl w:val="0"/>
          <w:numId w:val="25"/>
        </w:numPr>
        <w:rPr>
          <w:rFonts w:eastAsiaTheme="minorEastAsia" w:cstheme="minorHAnsi"/>
          <w:sz w:val="24"/>
          <w:szCs w:val="24"/>
        </w:rPr>
      </w:pPr>
      <w:r w:rsidRPr="00CD42F0">
        <w:rPr>
          <w:rFonts w:eastAsiaTheme="minorEastAsia" w:cstheme="minorHAnsi"/>
          <w:sz w:val="24"/>
          <w:szCs w:val="24"/>
        </w:rPr>
        <w:t>A transferência de conhecimento deverá ser ministrada na Escola dos Servidores do Tribunal de Justiça do Estado de Mato Grosso, em dependências dotadas de recursos de infraestrutura, hardware e software para a realização dos mesmos, incluindo a disponibilização de computadores individuais por treinando, a cargo da contratante.</w:t>
      </w:r>
    </w:p>
    <w:p w14:paraId="308B2EBD" w14:textId="77BD9215" w:rsidR="008472C0" w:rsidRPr="009B7685" w:rsidRDefault="00FA456F" w:rsidP="00AE5B10">
      <w:pPr>
        <w:rPr>
          <w:rFonts w:cstheme="minorHAnsi"/>
          <w:sz w:val="24"/>
          <w:szCs w:val="24"/>
        </w:rPr>
      </w:pPr>
      <w:r w:rsidRPr="00CD42F0">
        <w:rPr>
          <w:rFonts w:eastAsiaTheme="minorEastAsia" w:cstheme="minorHAnsi"/>
          <w:sz w:val="24"/>
          <w:szCs w:val="24"/>
        </w:rPr>
        <w:t>Todo o material didático para a realização dos treinamentos deverá ser oficial do fabricante da Solução, ser de primeiro uso e atualizados. O material deverá ser em português ou inglês, com aulas ministradas em língua portuguesa do Brasil.</w:t>
      </w:r>
    </w:p>
    <w:p w14:paraId="6548E93A" w14:textId="77777777" w:rsidR="008472C0" w:rsidRPr="009B7685" w:rsidRDefault="008472C0" w:rsidP="4F2C0FBD">
      <w:pPr>
        <w:pStyle w:val="Ttulo1"/>
        <w:numPr>
          <w:ilvl w:val="0"/>
          <w:numId w:val="0"/>
        </w:numPr>
        <w:ind w:left="432"/>
        <w:rPr>
          <w:rFonts w:asciiTheme="minorHAnsi" w:eastAsiaTheme="minorEastAsia" w:hAnsiTheme="minorHAnsi" w:cstheme="minorBidi"/>
        </w:rPr>
      </w:pPr>
      <w:bookmarkStart w:id="101" w:name="_Toc534884840"/>
      <w:r w:rsidRPr="4F2C0FBD">
        <w:rPr>
          <w:rFonts w:asciiTheme="minorHAnsi" w:eastAsiaTheme="minorEastAsia" w:hAnsiTheme="minorHAnsi" w:cstheme="minorBidi"/>
        </w:rPr>
        <w:t xml:space="preserve">Anexo </w:t>
      </w:r>
      <w:bookmarkEnd w:id="97"/>
      <w:bookmarkEnd w:id="98"/>
      <w:r w:rsidRPr="4F2C0FBD">
        <w:rPr>
          <w:rFonts w:asciiTheme="minorHAnsi" w:eastAsiaTheme="minorEastAsia" w:hAnsiTheme="minorHAnsi" w:cstheme="minorBidi"/>
        </w:rPr>
        <w:t>D</w:t>
      </w:r>
      <w:bookmarkEnd w:id="101"/>
    </w:p>
    <w:p w14:paraId="39283AB3" w14:textId="77777777" w:rsidR="008472C0" w:rsidRPr="009B7685" w:rsidRDefault="008472C0" w:rsidP="4F2C0FBD">
      <w:pPr>
        <w:pStyle w:val="Estilo6"/>
        <w:pBdr>
          <w:bottom w:val="single" w:sz="12" w:space="1" w:color="auto"/>
        </w:pBdr>
        <w:rPr>
          <w:rFonts w:asciiTheme="minorHAnsi" w:eastAsiaTheme="minorEastAsia" w:hAnsiTheme="minorHAnsi" w:cstheme="minorBidi"/>
        </w:rPr>
      </w:pPr>
      <w:bookmarkStart w:id="102" w:name="_Toc534884841"/>
      <w:r w:rsidRPr="4F2C0FBD">
        <w:rPr>
          <w:rFonts w:asciiTheme="minorHAnsi" w:eastAsiaTheme="minorEastAsia" w:hAnsiTheme="minorHAnsi" w:cstheme="minorBidi"/>
        </w:rPr>
        <w:t>Orçamentos</w:t>
      </w:r>
      <w:bookmarkEnd w:id="102"/>
    </w:p>
    <w:sdt>
      <w:sdtPr>
        <w:rPr>
          <w:rFonts w:asciiTheme="minorHAnsi" w:hAnsiTheme="minorHAnsi" w:cstheme="minorHAnsi"/>
        </w:rPr>
        <w:alias w:val="Assunto"/>
        <w:tag w:val=""/>
        <w:id w:val="871880691"/>
        <w:dataBinding w:prefixMappings="xmlns:ns0='http://purl.org/dc/elements/1.1/' xmlns:ns1='http://schemas.openxmlformats.org/package/2006/metadata/core-properties' " w:xpath="/ns1:coreProperties[1]/ns0:subject[1]" w:storeItemID="{6C3C8BC8-F283-45AE-878A-BAB7291924A1}"/>
        <w:text/>
      </w:sdtPr>
      <w:sdtEndPr/>
      <w:sdtContent>
        <w:p w14:paraId="5760BCB1" w14:textId="77777777" w:rsidR="008472C0" w:rsidRPr="009B7685" w:rsidRDefault="00DB26E8" w:rsidP="008472C0">
          <w:pPr>
            <w:pStyle w:val="Subttulo"/>
            <w:jc w:val="both"/>
            <w:rPr>
              <w:rFonts w:asciiTheme="minorHAnsi" w:hAnsiTheme="minorHAnsi" w:cstheme="minorHAnsi"/>
            </w:rPr>
          </w:pPr>
          <w:r>
            <w:rPr>
              <w:rFonts w:asciiTheme="minorHAnsi" w:hAnsiTheme="minorHAnsi" w:cstheme="minorHAnsi"/>
            </w:rPr>
            <w:t>Aquisição de Storage com suporte técnico e garantia</w:t>
          </w:r>
        </w:p>
      </w:sdtContent>
    </w:sdt>
    <w:p w14:paraId="3533C012" w14:textId="77777777" w:rsidR="008472C0" w:rsidRPr="009B7685" w:rsidRDefault="008472C0" w:rsidP="008472C0">
      <w:pPr>
        <w:rPr>
          <w:rFonts w:cstheme="minorHAnsi"/>
          <w:highlight w:val="yellow"/>
        </w:rPr>
      </w:pPr>
    </w:p>
    <w:p w14:paraId="4369DF57" w14:textId="77777777" w:rsidR="007942AD" w:rsidRDefault="007942AD" w:rsidP="007942AD">
      <w:pPr>
        <w:spacing w:line="240" w:lineRule="auto"/>
        <w:ind w:firstLine="1134"/>
        <w:jc w:val="both"/>
        <w:rPr>
          <w:rFonts w:cstheme="minorHAnsi"/>
        </w:rPr>
      </w:pPr>
    </w:p>
    <w:p w14:paraId="45D1DFE0" w14:textId="69A76BFA" w:rsidR="007942AD" w:rsidRDefault="002E6686">
      <w:pPr>
        <w:spacing w:after="200"/>
        <w:rPr>
          <w:rFonts w:cstheme="minorHAnsi"/>
        </w:rPr>
      </w:pPr>
      <w:r>
        <w:rPr>
          <w:rFonts w:cstheme="minorHAnsi"/>
        </w:rPr>
        <w:t>ENCONTRAM-SE NO ANEXO D DO TERMO DE REFERÊNCIA.</w:t>
      </w:r>
      <w:r w:rsidR="007942AD">
        <w:rPr>
          <w:rFonts w:cstheme="minorHAnsi"/>
        </w:rPr>
        <w:br w:type="page"/>
      </w:r>
    </w:p>
    <w:p w14:paraId="6F5C072F" w14:textId="63421004" w:rsidR="008472C0" w:rsidRPr="009B7685" w:rsidRDefault="008472C0" w:rsidP="4F2C0FBD">
      <w:pPr>
        <w:pStyle w:val="Ttulo1"/>
        <w:numPr>
          <w:ilvl w:val="0"/>
          <w:numId w:val="0"/>
        </w:numPr>
        <w:ind w:left="432"/>
        <w:rPr>
          <w:rFonts w:asciiTheme="minorHAnsi" w:eastAsiaTheme="minorEastAsia" w:hAnsiTheme="minorHAnsi" w:cstheme="minorBidi"/>
        </w:rPr>
      </w:pPr>
      <w:bookmarkStart w:id="103" w:name="_Toc534884842"/>
      <w:r w:rsidRPr="4F2C0FBD">
        <w:rPr>
          <w:rFonts w:asciiTheme="minorHAnsi" w:eastAsiaTheme="minorEastAsia" w:hAnsiTheme="minorHAnsi" w:cstheme="minorBidi"/>
        </w:rPr>
        <w:t>Anexo E</w:t>
      </w:r>
      <w:bookmarkEnd w:id="103"/>
    </w:p>
    <w:p w14:paraId="388C94A1" w14:textId="77777777" w:rsidR="008472C0" w:rsidRPr="009B7685" w:rsidRDefault="008472C0" w:rsidP="4F2C0FBD">
      <w:pPr>
        <w:pStyle w:val="Estilo6"/>
        <w:pBdr>
          <w:bottom w:val="single" w:sz="12" w:space="1" w:color="auto"/>
        </w:pBdr>
        <w:rPr>
          <w:rFonts w:asciiTheme="minorHAnsi" w:eastAsiaTheme="minorEastAsia" w:hAnsiTheme="minorHAnsi" w:cstheme="minorBidi"/>
        </w:rPr>
      </w:pPr>
      <w:bookmarkStart w:id="104" w:name="_Toc534884843"/>
      <w:r w:rsidRPr="4F2C0FBD">
        <w:rPr>
          <w:rFonts w:asciiTheme="minorHAnsi" w:eastAsiaTheme="minorEastAsia" w:hAnsiTheme="minorHAnsi" w:cstheme="minorBidi"/>
        </w:rPr>
        <w:t>Lista de Potenciais Fornecedores</w:t>
      </w:r>
      <w:bookmarkEnd w:id="104"/>
    </w:p>
    <w:sdt>
      <w:sdtPr>
        <w:rPr>
          <w:rFonts w:asciiTheme="minorHAnsi" w:hAnsiTheme="minorHAnsi" w:cstheme="minorHAnsi"/>
        </w:rPr>
        <w:alias w:val="Assunto"/>
        <w:tag w:val=""/>
        <w:id w:val="2004553387"/>
        <w:dataBinding w:prefixMappings="xmlns:ns0='http://purl.org/dc/elements/1.1/' xmlns:ns1='http://schemas.openxmlformats.org/package/2006/metadata/core-properties' " w:xpath="/ns1:coreProperties[1]/ns0:subject[1]" w:storeItemID="{6C3C8BC8-F283-45AE-878A-BAB7291924A1}"/>
        <w:text/>
      </w:sdtPr>
      <w:sdtEndPr/>
      <w:sdtContent>
        <w:p w14:paraId="042EB664" w14:textId="77777777" w:rsidR="008472C0" w:rsidRPr="009B7685" w:rsidRDefault="00DB26E8" w:rsidP="008472C0">
          <w:pPr>
            <w:pStyle w:val="Subttulo"/>
            <w:jc w:val="both"/>
            <w:rPr>
              <w:rFonts w:asciiTheme="minorHAnsi" w:hAnsiTheme="minorHAnsi" w:cstheme="minorHAnsi"/>
            </w:rPr>
          </w:pPr>
          <w:r>
            <w:rPr>
              <w:rFonts w:asciiTheme="minorHAnsi" w:hAnsiTheme="minorHAnsi" w:cstheme="minorHAnsi"/>
            </w:rPr>
            <w:t>Aquisição de Storage com suporte técnico e garantia</w:t>
          </w:r>
        </w:p>
      </w:sdtContent>
    </w:sdt>
    <w:tbl>
      <w:tblPr>
        <w:tblStyle w:val="Tabelacomgrade"/>
        <w:tblW w:w="0" w:type="auto"/>
        <w:tblLook w:val="04A0" w:firstRow="1" w:lastRow="0" w:firstColumn="1" w:lastColumn="0" w:noHBand="0" w:noVBand="1"/>
      </w:tblPr>
      <w:tblGrid>
        <w:gridCol w:w="541"/>
        <w:gridCol w:w="7953"/>
      </w:tblGrid>
      <w:tr w:rsidR="008472C0" w:rsidRPr="009B7685" w14:paraId="616B5DBF" w14:textId="77777777" w:rsidTr="4F2C0FBD">
        <w:trPr>
          <w:tblHeader/>
        </w:trPr>
        <w:tc>
          <w:tcPr>
            <w:tcW w:w="541" w:type="dxa"/>
            <w:shd w:val="clear" w:color="auto" w:fill="D9D9D9" w:themeFill="background1" w:themeFillShade="D9"/>
            <w:vAlign w:val="center"/>
          </w:tcPr>
          <w:p w14:paraId="0F17BBE6" w14:textId="77777777" w:rsidR="008472C0" w:rsidRPr="009B7685" w:rsidRDefault="008472C0" w:rsidP="0069655B">
            <w:pPr>
              <w:jc w:val="center"/>
              <w:rPr>
                <w:rFonts w:cstheme="minorHAnsi"/>
                <w:b/>
                <w:shd w:val="clear" w:color="auto" w:fill="D9D9D9" w:themeFill="background1" w:themeFillShade="D9"/>
              </w:rPr>
            </w:pPr>
            <w:r w:rsidRPr="009B7685">
              <w:rPr>
                <w:rFonts w:cstheme="minorHAnsi"/>
                <w:shd w:val="clear" w:color="auto" w:fill="D9D9D9" w:themeFill="background1" w:themeFillShade="D9"/>
              </w:rPr>
              <w:br w:type="page"/>
            </w:r>
          </w:p>
        </w:tc>
        <w:tc>
          <w:tcPr>
            <w:tcW w:w="7953" w:type="dxa"/>
            <w:shd w:val="clear" w:color="auto" w:fill="D9D9D9" w:themeFill="background1" w:themeFillShade="D9"/>
          </w:tcPr>
          <w:p w14:paraId="1C90286B" w14:textId="77777777" w:rsidR="008472C0" w:rsidRPr="009B7685" w:rsidRDefault="008472C0" w:rsidP="4F2C0FBD">
            <w:pPr>
              <w:jc w:val="center"/>
              <w:rPr>
                <w:rFonts w:eastAsiaTheme="minorEastAsia"/>
                <w:b/>
                <w:bCs/>
              </w:rPr>
            </w:pPr>
            <w:r w:rsidRPr="4F2C0FBD">
              <w:rPr>
                <w:rFonts w:eastAsiaTheme="minorEastAsia"/>
                <w:b/>
                <w:bCs/>
                <w:shd w:val="clear" w:color="auto" w:fill="D9D9D9" w:themeFill="background1" w:themeFillShade="D9"/>
              </w:rPr>
              <w:t>Fornecedo</w:t>
            </w:r>
            <w:r w:rsidRPr="4F2C0FBD">
              <w:rPr>
                <w:rFonts w:eastAsiaTheme="minorEastAsia"/>
                <w:b/>
                <w:bCs/>
              </w:rPr>
              <w:t>r</w:t>
            </w:r>
          </w:p>
        </w:tc>
      </w:tr>
      <w:tr w:rsidR="008472C0" w:rsidRPr="009B7685" w14:paraId="45163CA3" w14:textId="77777777" w:rsidTr="4F2C0FBD">
        <w:tc>
          <w:tcPr>
            <w:tcW w:w="541" w:type="dxa"/>
            <w:shd w:val="clear" w:color="auto" w:fill="D9D9D9" w:themeFill="background1" w:themeFillShade="D9"/>
            <w:vAlign w:val="center"/>
          </w:tcPr>
          <w:p w14:paraId="6EF85029" w14:textId="77777777" w:rsidR="008472C0" w:rsidRPr="009B7685" w:rsidRDefault="008472C0" w:rsidP="4F2C0FBD">
            <w:pPr>
              <w:jc w:val="center"/>
              <w:rPr>
                <w:rFonts w:eastAsiaTheme="minorEastAsia"/>
                <w:b/>
                <w:bCs/>
              </w:rPr>
            </w:pPr>
            <w:r w:rsidRPr="4F2C0FBD">
              <w:rPr>
                <w:rFonts w:eastAsiaTheme="minorEastAsia"/>
                <w:b/>
                <w:bCs/>
                <w:shd w:val="clear" w:color="auto" w:fill="D9D9D9" w:themeFill="background1" w:themeFillShade="D9"/>
              </w:rPr>
              <w:t>1</w:t>
            </w:r>
          </w:p>
        </w:tc>
        <w:tc>
          <w:tcPr>
            <w:tcW w:w="7953" w:type="dxa"/>
          </w:tcPr>
          <w:p w14:paraId="472824B0" w14:textId="77777777" w:rsidR="008472C0" w:rsidRPr="009B7685" w:rsidRDefault="4F2C0FBD" w:rsidP="4F2C0FBD">
            <w:pPr>
              <w:rPr>
                <w:rFonts w:eastAsiaTheme="minorEastAsia"/>
                <w:b/>
                <w:bCs/>
              </w:rPr>
            </w:pPr>
            <w:r w:rsidRPr="4F2C0FBD">
              <w:rPr>
                <w:rFonts w:eastAsiaTheme="minorEastAsia"/>
                <w:b/>
                <w:bCs/>
              </w:rPr>
              <w:t xml:space="preserve">Nome: </w:t>
            </w:r>
            <w:r w:rsidRPr="4F2C0FBD">
              <w:rPr>
                <w:rFonts w:eastAsiaTheme="minorEastAsia"/>
                <w:b/>
                <w:bCs/>
                <w:color w:val="4F81BD" w:themeColor="accent1"/>
              </w:rPr>
              <w:t>Hitachi Data Systems do Brasil</w:t>
            </w:r>
          </w:p>
          <w:p w14:paraId="6A144E13" w14:textId="77777777" w:rsidR="008472C0" w:rsidRPr="009B7685" w:rsidRDefault="4F2C0FBD" w:rsidP="4F2C0FBD">
            <w:pPr>
              <w:rPr>
                <w:rFonts w:eastAsiaTheme="minorEastAsia"/>
                <w:b/>
                <w:bCs/>
              </w:rPr>
            </w:pPr>
            <w:r w:rsidRPr="4F2C0FBD">
              <w:rPr>
                <w:rFonts w:eastAsiaTheme="minorEastAsia"/>
                <w:b/>
                <w:bCs/>
              </w:rPr>
              <w:t xml:space="preserve">Sítio: </w:t>
            </w:r>
            <w:r w:rsidRPr="4F2C0FBD">
              <w:rPr>
                <w:rFonts w:eastAsiaTheme="minorEastAsia"/>
                <w:b/>
                <w:bCs/>
                <w:color w:val="4F81BD" w:themeColor="accent1"/>
              </w:rPr>
              <w:t>http://www.ItachiVantara.com</w:t>
            </w:r>
          </w:p>
          <w:p w14:paraId="28041C73" w14:textId="77777777" w:rsidR="008472C0" w:rsidRPr="009B7685" w:rsidRDefault="4F2C0FBD" w:rsidP="4F2C0FBD">
            <w:pPr>
              <w:rPr>
                <w:rFonts w:eastAsiaTheme="minorEastAsia"/>
                <w:b/>
                <w:bCs/>
              </w:rPr>
            </w:pPr>
            <w:r w:rsidRPr="4F2C0FBD">
              <w:rPr>
                <w:rFonts w:eastAsiaTheme="minorEastAsia"/>
                <w:b/>
                <w:bCs/>
              </w:rPr>
              <w:t xml:space="preserve">Telefone: </w:t>
            </w:r>
            <w:r w:rsidRPr="4F2C0FBD">
              <w:rPr>
                <w:rFonts w:eastAsiaTheme="minorEastAsia"/>
                <w:b/>
                <w:bCs/>
                <w:color w:val="4F81BD" w:themeColor="accent1"/>
              </w:rPr>
              <w:t>(61) 3329-6349</w:t>
            </w:r>
          </w:p>
          <w:p w14:paraId="40C430AF" w14:textId="77777777" w:rsidR="008472C0" w:rsidRPr="009B7685" w:rsidRDefault="4F2C0FBD" w:rsidP="4F2C0FBD">
            <w:pPr>
              <w:rPr>
                <w:rFonts w:eastAsiaTheme="minorEastAsia"/>
                <w:b/>
                <w:bCs/>
              </w:rPr>
            </w:pPr>
            <w:r w:rsidRPr="4F2C0FBD">
              <w:rPr>
                <w:rFonts w:eastAsiaTheme="minorEastAsia"/>
                <w:b/>
                <w:bCs/>
              </w:rPr>
              <w:t xml:space="preserve">E-mail: </w:t>
            </w:r>
            <w:r w:rsidRPr="4F2C0FBD">
              <w:rPr>
                <w:rFonts w:eastAsiaTheme="minorEastAsia"/>
                <w:b/>
                <w:bCs/>
                <w:color w:val="4F81BD" w:themeColor="accent1"/>
              </w:rPr>
              <w:t>jefferson.gutierres@HitachiVantara.com</w:t>
            </w:r>
          </w:p>
          <w:p w14:paraId="418C794C" w14:textId="77777777" w:rsidR="008472C0" w:rsidRPr="009B7685" w:rsidRDefault="4F2C0FBD" w:rsidP="4F2C0FBD">
            <w:pPr>
              <w:rPr>
                <w:rFonts w:eastAsiaTheme="minorEastAsia"/>
              </w:rPr>
            </w:pPr>
            <w:r w:rsidRPr="4F2C0FBD">
              <w:rPr>
                <w:rFonts w:eastAsiaTheme="minorEastAsia"/>
                <w:b/>
                <w:bCs/>
              </w:rPr>
              <w:t xml:space="preserve">Contato: </w:t>
            </w:r>
            <w:r w:rsidRPr="4F2C0FBD">
              <w:rPr>
                <w:rFonts w:eastAsiaTheme="minorEastAsia"/>
                <w:b/>
                <w:bCs/>
                <w:color w:val="4F81BD" w:themeColor="accent1"/>
              </w:rPr>
              <w:t>Jefferson Gutierres</w:t>
            </w:r>
          </w:p>
        </w:tc>
      </w:tr>
      <w:tr w:rsidR="008472C0" w:rsidRPr="009B7685" w14:paraId="4E631F13" w14:textId="77777777" w:rsidTr="4F2C0FBD">
        <w:tc>
          <w:tcPr>
            <w:tcW w:w="541" w:type="dxa"/>
            <w:shd w:val="clear" w:color="auto" w:fill="D9D9D9" w:themeFill="background1" w:themeFillShade="D9"/>
          </w:tcPr>
          <w:p w14:paraId="012125DD" w14:textId="77777777" w:rsidR="008472C0" w:rsidRPr="009B7685" w:rsidRDefault="008472C0" w:rsidP="0069655B">
            <w:pPr>
              <w:jc w:val="center"/>
              <w:rPr>
                <w:rFonts w:cstheme="minorHAnsi"/>
                <w:b/>
              </w:rPr>
            </w:pPr>
          </w:p>
          <w:p w14:paraId="6FB6514B" w14:textId="77777777" w:rsidR="008472C0" w:rsidRPr="009B7685" w:rsidRDefault="008472C0" w:rsidP="0069655B">
            <w:pPr>
              <w:jc w:val="center"/>
              <w:rPr>
                <w:rFonts w:cstheme="minorHAnsi"/>
                <w:b/>
              </w:rPr>
            </w:pPr>
          </w:p>
          <w:p w14:paraId="4059AB6D" w14:textId="77777777" w:rsidR="008472C0" w:rsidRPr="009B7685" w:rsidRDefault="4F2C0FBD" w:rsidP="4F2C0FBD">
            <w:pPr>
              <w:jc w:val="center"/>
              <w:rPr>
                <w:rFonts w:eastAsiaTheme="minorEastAsia"/>
                <w:b/>
                <w:bCs/>
              </w:rPr>
            </w:pPr>
            <w:r w:rsidRPr="4F2C0FBD">
              <w:rPr>
                <w:rFonts w:eastAsiaTheme="minorEastAsia"/>
                <w:b/>
                <w:bCs/>
              </w:rPr>
              <w:t>2</w:t>
            </w:r>
          </w:p>
        </w:tc>
        <w:tc>
          <w:tcPr>
            <w:tcW w:w="7953" w:type="dxa"/>
          </w:tcPr>
          <w:p w14:paraId="4B12394E" w14:textId="77777777" w:rsidR="008472C0" w:rsidRPr="009B7685" w:rsidRDefault="4F2C0FBD" w:rsidP="4F2C0FBD">
            <w:pPr>
              <w:rPr>
                <w:rFonts w:eastAsiaTheme="minorEastAsia"/>
                <w:b/>
                <w:bCs/>
              </w:rPr>
            </w:pPr>
            <w:r w:rsidRPr="4F2C0FBD">
              <w:rPr>
                <w:rFonts w:eastAsiaTheme="minorEastAsia"/>
                <w:b/>
                <w:bCs/>
              </w:rPr>
              <w:t xml:space="preserve">Nome: </w:t>
            </w:r>
            <w:r w:rsidRPr="4F2C0FBD">
              <w:rPr>
                <w:rFonts w:eastAsiaTheme="minorEastAsia"/>
                <w:b/>
                <w:bCs/>
                <w:color w:val="4F81BD" w:themeColor="accent1"/>
              </w:rPr>
              <w:t>IBM</w:t>
            </w:r>
          </w:p>
          <w:p w14:paraId="152D54D5" w14:textId="77777777" w:rsidR="008472C0" w:rsidRPr="009B7685" w:rsidRDefault="4F2C0FBD" w:rsidP="4F2C0FBD">
            <w:pPr>
              <w:rPr>
                <w:rFonts w:eastAsiaTheme="minorEastAsia"/>
                <w:b/>
                <w:bCs/>
              </w:rPr>
            </w:pPr>
            <w:r w:rsidRPr="4F2C0FBD">
              <w:rPr>
                <w:rFonts w:eastAsiaTheme="minorEastAsia"/>
                <w:b/>
                <w:bCs/>
              </w:rPr>
              <w:t xml:space="preserve">Sítio: </w:t>
            </w:r>
            <w:r w:rsidRPr="4F2C0FBD">
              <w:rPr>
                <w:rFonts w:eastAsiaTheme="minorEastAsia"/>
                <w:b/>
                <w:bCs/>
                <w:color w:val="4F81BD" w:themeColor="accent1"/>
              </w:rPr>
              <w:t>http://www.ibm.com</w:t>
            </w:r>
          </w:p>
          <w:p w14:paraId="071C2DA6" w14:textId="77777777" w:rsidR="008472C0" w:rsidRPr="009B7685" w:rsidRDefault="4F2C0FBD" w:rsidP="4F2C0FBD">
            <w:pPr>
              <w:rPr>
                <w:rFonts w:eastAsiaTheme="minorEastAsia"/>
                <w:b/>
                <w:bCs/>
              </w:rPr>
            </w:pPr>
            <w:r w:rsidRPr="4F2C0FBD">
              <w:rPr>
                <w:rFonts w:eastAsiaTheme="minorEastAsia"/>
                <w:b/>
                <w:bCs/>
              </w:rPr>
              <w:t xml:space="preserve">Telefone: </w:t>
            </w:r>
            <w:r w:rsidRPr="4F2C0FBD">
              <w:rPr>
                <w:rFonts w:eastAsiaTheme="minorEastAsia"/>
                <w:b/>
                <w:bCs/>
                <w:color w:val="4F81BD" w:themeColor="accent1"/>
              </w:rPr>
              <w:t>(65) 99938-7150</w:t>
            </w:r>
          </w:p>
          <w:p w14:paraId="5F0FEA9B" w14:textId="77777777" w:rsidR="008472C0" w:rsidRPr="009B7685" w:rsidRDefault="4F2C0FBD" w:rsidP="4F2C0FBD">
            <w:pPr>
              <w:rPr>
                <w:rFonts w:eastAsiaTheme="minorEastAsia"/>
                <w:b/>
                <w:bCs/>
              </w:rPr>
            </w:pPr>
            <w:r w:rsidRPr="4F2C0FBD">
              <w:rPr>
                <w:rFonts w:eastAsiaTheme="minorEastAsia"/>
                <w:b/>
                <w:bCs/>
              </w:rPr>
              <w:t xml:space="preserve">E-mail: </w:t>
            </w:r>
            <w:r w:rsidRPr="4F2C0FBD">
              <w:rPr>
                <w:rFonts w:eastAsiaTheme="minorEastAsia"/>
                <w:b/>
                <w:bCs/>
                <w:color w:val="4F81BD" w:themeColor="accent1"/>
              </w:rPr>
              <w:t>luizvs@br.ibm.com</w:t>
            </w:r>
          </w:p>
          <w:p w14:paraId="00A82A15" w14:textId="77777777" w:rsidR="008472C0" w:rsidRPr="009B7685" w:rsidRDefault="4F2C0FBD" w:rsidP="4F2C0FBD">
            <w:pPr>
              <w:rPr>
                <w:rFonts w:eastAsiaTheme="minorEastAsia"/>
              </w:rPr>
            </w:pPr>
            <w:r w:rsidRPr="4F2C0FBD">
              <w:rPr>
                <w:rFonts w:eastAsiaTheme="minorEastAsia"/>
                <w:b/>
                <w:bCs/>
              </w:rPr>
              <w:t xml:space="preserve">Contato: </w:t>
            </w:r>
            <w:r w:rsidRPr="4F2C0FBD">
              <w:rPr>
                <w:rFonts w:eastAsiaTheme="minorEastAsia"/>
                <w:b/>
                <w:bCs/>
                <w:color w:val="4F81BD" w:themeColor="accent1"/>
              </w:rPr>
              <w:t>Luiz Vergílio de Arruda</w:t>
            </w:r>
          </w:p>
        </w:tc>
      </w:tr>
      <w:tr w:rsidR="008472C0" w:rsidRPr="009B7685" w14:paraId="0529B12F" w14:textId="77777777" w:rsidTr="4F2C0FBD">
        <w:tc>
          <w:tcPr>
            <w:tcW w:w="541" w:type="dxa"/>
            <w:shd w:val="clear" w:color="auto" w:fill="D9D9D9" w:themeFill="background1" w:themeFillShade="D9"/>
          </w:tcPr>
          <w:p w14:paraId="4BAC05A0" w14:textId="77777777" w:rsidR="008472C0" w:rsidRPr="009B7685" w:rsidRDefault="008472C0" w:rsidP="0069655B">
            <w:pPr>
              <w:jc w:val="center"/>
              <w:rPr>
                <w:rFonts w:cstheme="minorHAnsi"/>
                <w:b/>
              </w:rPr>
            </w:pPr>
          </w:p>
          <w:p w14:paraId="2160BBBF" w14:textId="77777777" w:rsidR="008472C0" w:rsidRPr="009B7685" w:rsidRDefault="008472C0" w:rsidP="0069655B">
            <w:pPr>
              <w:jc w:val="center"/>
              <w:rPr>
                <w:rFonts w:cstheme="minorHAnsi"/>
                <w:b/>
              </w:rPr>
            </w:pPr>
          </w:p>
          <w:p w14:paraId="170F4217" w14:textId="77777777" w:rsidR="008472C0" w:rsidRPr="009B7685" w:rsidRDefault="4F2C0FBD" w:rsidP="4F2C0FBD">
            <w:pPr>
              <w:jc w:val="center"/>
              <w:rPr>
                <w:rFonts w:eastAsiaTheme="minorEastAsia"/>
                <w:b/>
                <w:bCs/>
              </w:rPr>
            </w:pPr>
            <w:r w:rsidRPr="4F2C0FBD">
              <w:rPr>
                <w:rFonts w:eastAsiaTheme="minorEastAsia"/>
                <w:b/>
                <w:bCs/>
              </w:rPr>
              <w:t>3</w:t>
            </w:r>
          </w:p>
        </w:tc>
        <w:tc>
          <w:tcPr>
            <w:tcW w:w="7953" w:type="dxa"/>
          </w:tcPr>
          <w:p w14:paraId="3F672C92" w14:textId="77777777" w:rsidR="008472C0" w:rsidRPr="009B7685" w:rsidRDefault="4F2C0FBD" w:rsidP="4F2C0FBD">
            <w:pPr>
              <w:rPr>
                <w:rFonts w:eastAsiaTheme="minorEastAsia"/>
                <w:b/>
                <w:bCs/>
              </w:rPr>
            </w:pPr>
            <w:r w:rsidRPr="4F2C0FBD">
              <w:rPr>
                <w:rFonts w:eastAsiaTheme="minorEastAsia"/>
                <w:b/>
                <w:bCs/>
              </w:rPr>
              <w:t xml:space="preserve">Nome: </w:t>
            </w:r>
            <w:r w:rsidRPr="4F2C0FBD">
              <w:rPr>
                <w:rFonts w:eastAsiaTheme="minorEastAsia"/>
                <w:b/>
                <w:bCs/>
                <w:color w:val="4F81BD" w:themeColor="accent1"/>
              </w:rPr>
              <w:t>Dell EMC</w:t>
            </w:r>
          </w:p>
          <w:p w14:paraId="7425AA10" w14:textId="77777777" w:rsidR="008472C0" w:rsidRPr="009B7685" w:rsidRDefault="4F2C0FBD" w:rsidP="4F2C0FBD">
            <w:pPr>
              <w:rPr>
                <w:rFonts w:eastAsiaTheme="minorEastAsia"/>
                <w:b/>
                <w:bCs/>
              </w:rPr>
            </w:pPr>
            <w:r w:rsidRPr="4F2C0FBD">
              <w:rPr>
                <w:rFonts w:eastAsiaTheme="minorEastAsia"/>
                <w:b/>
                <w:bCs/>
              </w:rPr>
              <w:t xml:space="preserve">Sítio: </w:t>
            </w:r>
            <w:r w:rsidRPr="4F2C0FBD">
              <w:rPr>
                <w:rFonts w:eastAsiaTheme="minorEastAsia"/>
                <w:b/>
                <w:bCs/>
                <w:color w:val="4F81BD" w:themeColor="accent1"/>
              </w:rPr>
              <w:t>http://www.dellemc.com</w:t>
            </w:r>
          </w:p>
          <w:p w14:paraId="63FA1D86" w14:textId="77777777" w:rsidR="008472C0" w:rsidRPr="009B7685" w:rsidRDefault="4F2C0FBD" w:rsidP="4F2C0FBD">
            <w:pPr>
              <w:rPr>
                <w:rFonts w:eastAsiaTheme="minorEastAsia"/>
                <w:b/>
                <w:bCs/>
              </w:rPr>
            </w:pPr>
            <w:r w:rsidRPr="4F2C0FBD">
              <w:rPr>
                <w:rFonts w:eastAsiaTheme="minorEastAsia"/>
                <w:b/>
                <w:bCs/>
              </w:rPr>
              <w:t xml:space="preserve">Telefone: </w:t>
            </w:r>
            <w:r w:rsidRPr="4F2C0FBD">
              <w:rPr>
                <w:rFonts w:eastAsiaTheme="minorEastAsia"/>
                <w:b/>
                <w:bCs/>
                <w:color w:val="4F81BD" w:themeColor="accent1"/>
              </w:rPr>
              <w:t>(61) 3052-4500</w:t>
            </w:r>
          </w:p>
          <w:p w14:paraId="0D4B854F" w14:textId="77777777" w:rsidR="008472C0" w:rsidRPr="009B7685" w:rsidRDefault="4F2C0FBD" w:rsidP="4F2C0FBD">
            <w:pPr>
              <w:rPr>
                <w:rFonts w:eastAsiaTheme="minorEastAsia"/>
                <w:b/>
                <w:bCs/>
              </w:rPr>
            </w:pPr>
            <w:r w:rsidRPr="4F2C0FBD">
              <w:rPr>
                <w:rFonts w:eastAsiaTheme="minorEastAsia"/>
                <w:b/>
                <w:bCs/>
              </w:rPr>
              <w:t xml:space="preserve">E-mail: </w:t>
            </w:r>
            <w:r w:rsidRPr="4F2C0FBD">
              <w:rPr>
                <w:rFonts w:eastAsiaTheme="minorEastAsia"/>
                <w:b/>
                <w:bCs/>
                <w:color w:val="4F81BD" w:themeColor="accent1"/>
              </w:rPr>
              <w:t>Gustavo_magalhaes@dell.com</w:t>
            </w:r>
          </w:p>
          <w:p w14:paraId="2545E332" w14:textId="77777777" w:rsidR="008472C0" w:rsidRPr="009B7685" w:rsidRDefault="4F2C0FBD" w:rsidP="4F2C0FBD">
            <w:pPr>
              <w:rPr>
                <w:rFonts w:eastAsiaTheme="minorEastAsia"/>
              </w:rPr>
            </w:pPr>
            <w:r w:rsidRPr="4F2C0FBD">
              <w:rPr>
                <w:rFonts w:eastAsiaTheme="minorEastAsia"/>
                <w:b/>
                <w:bCs/>
              </w:rPr>
              <w:t xml:space="preserve">Contato: </w:t>
            </w:r>
            <w:r w:rsidRPr="4F2C0FBD">
              <w:rPr>
                <w:rFonts w:eastAsiaTheme="minorEastAsia"/>
                <w:b/>
                <w:bCs/>
                <w:color w:val="4F81BD" w:themeColor="accent1"/>
              </w:rPr>
              <w:t>Gustavo Magalhães</w:t>
            </w:r>
          </w:p>
        </w:tc>
      </w:tr>
      <w:tr w:rsidR="008472C0" w:rsidRPr="009B7685" w14:paraId="25841AF4" w14:textId="77777777" w:rsidTr="4F2C0FBD">
        <w:tc>
          <w:tcPr>
            <w:tcW w:w="541" w:type="dxa"/>
            <w:shd w:val="clear" w:color="auto" w:fill="D9D9D9" w:themeFill="background1" w:themeFillShade="D9"/>
          </w:tcPr>
          <w:p w14:paraId="2B7F1E82" w14:textId="77777777" w:rsidR="008472C0" w:rsidRPr="009B7685" w:rsidRDefault="008472C0" w:rsidP="0069655B">
            <w:pPr>
              <w:jc w:val="center"/>
              <w:rPr>
                <w:rFonts w:cstheme="minorHAnsi"/>
                <w:b/>
              </w:rPr>
            </w:pPr>
          </w:p>
          <w:p w14:paraId="46C2312D" w14:textId="77777777" w:rsidR="008472C0" w:rsidRPr="009B7685" w:rsidRDefault="008472C0" w:rsidP="0069655B">
            <w:pPr>
              <w:jc w:val="center"/>
              <w:rPr>
                <w:rFonts w:cstheme="minorHAnsi"/>
                <w:b/>
              </w:rPr>
            </w:pPr>
          </w:p>
          <w:p w14:paraId="22E55DEC" w14:textId="77777777" w:rsidR="008472C0" w:rsidRPr="009B7685" w:rsidRDefault="4F2C0FBD" w:rsidP="4F2C0FBD">
            <w:pPr>
              <w:jc w:val="center"/>
              <w:rPr>
                <w:rFonts w:eastAsiaTheme="minorEastAsia"/>
                <w:b/>
                <w:bCs/>
              </w:rPr>
            </w:pPr>
            <w:r w:rsidRPr="4F2C0FBD">
              <w:rPr>
                <w:rFonts w:eastAsiaTheme="minorEastAsia"/>
                <w:b/>
                <w:bCs/>
              </w:rPr>
              <w:t>4</w:t>
            </w:r>
          </w:p>
        </w:tc>
        <w:tc>
          <w:tcPr>
            <w:tcW w:w="7953" w:type="dxa"/>
          </w:tcPr>
          <w:p w14:paraId="5450E0A7" w14:textId="77777777" w:rsidR="008472C0" w:rsidRPr="009B7685" w:rsidRDefault="4F2C0FBD" w:rsidP="4F2C0FBD">
            <w:pPr>
              <w:rPr>
                <w:rFonts w:eastAsiaTheme="minorEastAsia"/>
                <w:b/>
                <w:bCs/>
              </w:rPr>
            </w:pPr>
            <w:r w:rsidRPr="4F2C0FBD">
              <w:rPr>
                <w:rFonts w:eastAsiaTheme="minorEastAsia"/>
                <w:b/>
                <w:bCs/>
              </w:rPr>
              <w:t xml:space="preserve">Nome: </w:t>
            </w:r>
            <w:r w:rsidRPr="4F2C0FBD">
              <w:rPr>
                <w:rFonts w:eastAsiaTheme="minorEastAsia"/>
                <w:b/>
                <w:bCs/>
                <w:color w:val="4F80BD"/>
              </w:rPr>
              <w:t>Purestorage</w:t>
            </w:r>
          </w:p>
          <w:p w14:paraId="3DC7502B" w14:textId="77777777" w:rsidR="008472C0" w:rsidRPr="009B7685" w:rsidRDefault="4F2C0FBD" w:rsidP="4F2C0FBD">
            <w:pPr>
              <w:rPr>
                <w:rFonts w:eastAsiaTheme="minorEastAsia"/>
                <w:b/>
                <w:bCs/>
              </w:rPr>
            </w:pPr>
            <w:r w:rsidRPr="4F2C0FBD">
              <w:rPr>
                <w:rFonts w:eastAsiaTheme="minorEastAsia"/>
                <w:b/>
                <w:bCs/>
              </w:rPr>
              <w:t xml:space="preserve">Sítio: </w:t>
            </w:r>
            <w:r w:rsidRPr="4F2C0FBD">
              <w:rPr>
                <w:rFonts w:eastAsiaTheme="minorEastAsia"/>
                <w:b/>
                <w:bCs/>
                <w:color w:val="4F81BD" w:themeColor="accent1"/>
              </w:rPr>
              <w:t>http://www.purestorage.com</w:t>
            </w:r>
          </w:p>
          <w:p w14:paraId="225B51DF" w14:textId="77777777" w:rsidR="008472C0" w:rsidRPr="009B7685" w:rsidRDefault="4F2C0FBD" w:rsidP="4F2C0FBD">
            <w:pPr>
              <w:rPr>
                <w:rFonts w:eastAsiaTheme="minorEastAsia"/>
                <w:b/>
                <w:bCs/>
              </w:rPr>
            </w:pPr>
            <w:r w:rsidRPr="4F2C0FBD">
              <w:rPr>
                <w:rFonts w:eastAsiaTheme="minorEastAsia"/>
                <w:b/>
                <w:bCs/>
              </w:rPr>
              <w:t xml:space="preserve">Telefone: </w:t>
            </w:r>
            <w:r w:rsidRPr="4F2C0FBD">
              <w:rPr>
                <w:rFonts w:eastAsiaTheme="minorEastAsia"/>
                <w:b/>
                <w:bCs/>
                <w:color w:val="4F81BD" w:themeColor="accent1"/>
              </w:rPr>
              <w:t>(61) 3533-6452</w:t>
            </w:r>
          </w:p>
          <w:p w14:paraId="2460A018" w14:textId="77777777" w:rsidR="008472C0" w:rsidRPr="009B7685" w:rsidRDefault="4F2C0FBD" w:rsidP="4F2C0FBD">
            <w:pPr>
              <w:rPr>
                <w:rFonts w:eastAsiaTheme="minorEastAsia"/>
                <w:b/>
                <w:bCs/>
              </w:rPr>
            </w:pPr>
            <w:r w:rsidRPr="4F2C0FBD">
              <w:rPr>
                <w:rFonts w:eastAsiaTheme="minorEastAsia"/>
                <w:b/>
                <w:bCs/>
              </w:rPr>
              <w:t xml:space="preserve">E-mail: </w:t>
            </w:r>
            <w:r w:rsidRPr="4F2C0FBD">
              <w:rPr>
                <w:rFonts w:eastAsiaTheme="minorEastAsia"/>
                <w:b/>
                <w:bCs/>
                <w:color w:val="4F81BD" w:themeColor="accent1"/>
              </w:rPr>
              <w:t>rafael.reginatto@purestorage.com</w:t>
            </w:r>
          </w:p>
          <w:p w14:paraId="29EA8885" w14:textId="77777777" w:rsidR="008472C0" w:rsidRPr="009B7685" w:rsidRDefault="4F2C0FBD" w:rsidP="4F2C0FBD">
            <w:pPr>
              <w:rPr>
                <w:rFonts w:eastAsiaTheme="minorEastAsia"/>
              </w:rPr>
            </w:pPr>
            <w:r w:rsidRPr="4F2C0FBD">
              <w:rPr>
                <w:rFonts w:eastAsiaTheme="minorEastAsia"/>
                <w:b/>
                <w:bCs/>
              </w:rPr>
              <w:t xml:space="preserve">Contato: </w:t>
            </w:r>
            <w:r w:rsidRPr="4F2C0FBD">
              <w:rPr>
                <w:rFonts w:eastAsiaTheme="minorEastAsia"/>
                <w:b/>
                <w:bCs/>
                <w:color w:val="4F80BD"/>
              </w:rPr>
              <w:t>Rafael Reginatto</w:t>
            </w:r>
          </w:p>
        </w:tc>
      </w:tr>
      <w:tr w:rsidR="008472C0" w:rsidRPr="009B7685" w14:paraId="734ADDDE" w14:textId="77777777" w:rsidTr="4F2C0FBD">
        <w:tc>
          <w:tcPr>
            <w:tcW w:w="541" w:type="dxa"/>
            <w:shd w:val="clear" w:color="auto" w:fill="D9D9D9" w:themeFill="background1" w:themeFillShade="D9"/>
          </w:tcPr>
          <w:p w14:paraId="580AC4CD" w14:textId="77777777" w:rsidR="008472C0" w:rsidRPr="009B7685" w:rsidRDefault="008472C0" w:rsidP="0069655B">
            <w:pPr>
              <w:jc w:val="center"/>
              <w:rPr>
                <w:rFonts w:cstheme="minorHAnsi"/>
                <w:b/>
              </w:rPr>
            </w:pPr>
          </w:p>
          <w:p w14:paraId="302CD539" w14:textId="77777777" w:rsidR="008472C0" w:rsidRPr="009B7685" w:rsidRDefault="008472C0" w:rsidP="0069655B">
            <w:pPr>
              <w:jc w:val="center"/>
              <w:rPr>
                <w:rFonts w:cstheme="minorHAnsi"/>
                <w:b/>
              </w:rPr>
            </w:pPr>
          </w:p>
          <w:p w14:paraId="42FCC300" w14:textId="77777777" w:rsidR="008472C0" w:rsidRPr="009B7685" w:rsidRDefault="4F2C0FBD" w:rsidP="4F2C0FBD">
            <w:pPr>
              <w:jc w:val="center"/>
              <w:rPr>
                <w:rFonts w:eastAsiaTheme="minorEastAsia"/>
                <w:b/>
                <w:bCs/>
              </w:rPr>
            </w:pPr>
            <w:r w:rsidRPr="4F2C0FBD">
              <w:rPr>
                <w:rFonts w:eastAsiaTheme="minorEastAsia"/>
                <w:b/>
                <w:bCs/>
              </w:rPr>
              <w:t>5</w:t>
            </w:r>
          </w:p>
        </w:tc>
        <w:tc>
          <w:tcPr>
            <w:tcW w:w="7953" w:type="dxa"/>
          </w:tcPr>
          <w:p w14:paraId="75D1A1ED" w14:textId="77777777" w:rsidR="008472C0" w:rsidRPr="009B7685" w:rsidRDefault="4F2C0FBD" w:rsidP="4F2C0FBD">
            <w:pPr>
              <w:rPr>
                <w:rFonts w:eastAsiaTheme="minorEastAsia"/>
                <w:b/>
                <w:bCs/>
              </w:rPr>
            </w:pPr>
            <w:r w:rsidRPr="4F2C0FBD">
              <w:rPr>
                <w:rFonts w:eastAsiaTheme="minorEastAsia"/>
                <w:b/>
                <w:bCs/>
              </w:rPr>
              <w:t xml:space="preserve">Nome: </w:t>
            </w:r>
            <w:r w:rsidRPr="4F2C0FBD">
              <w:rPr>
                <w:rFonts w:eastAsiaTheme="minorEastAsia"/>
                <w:b/>
                <w:bCs/>
                <w:color w:val="4F80BD"/>
              </w:rPr>
              <w:t>NetApp</w:t>
            </w:r>
          </w:p>
          <w:p w14:paraId="063DF384" w14:textId="77777777" w:rsidR="008472C0" w:rsidRPr="009B7685" w:rsidRDefault="4F2C0FBD" w:rsidP="4F2C0FBD">
            <w:pPr>
              <w:rPr>
                <w:rFonts w:eastAsiaTheme="minorEastAsia"/>
                <w:b/>
                <w:bCs/>
              </w:rPr>
            </w:pPr>
            <w:r w:rsidRPr="4F2C0FBD">
              <w:rPr>
                <w:rFonts w:eastAsiaTheme="minorEastAsia"/>
                <w:b/>
                <w:bCs/>
              </w:rPr>
              <w:t xml:space="preserve">Sítio: </w:t>
            </w:r>
            <w:r w:rsidRPr="4F2C0FBD">
              <w:rPr>
                <w:rFonts w:eastAsiaTheme="minorEastAsia"/>
                <w:b/>
                <w:bCs/>
                <w:color w:val="4F81BD" w:themeColor="accent1"/>
              </w:rPr>
              <w:t>http://www.netapp.com.br</w:t>
            </w:r>
          </w:p>
          <w:p w14:paraId="11B3D085" w14:textId="77777777" w:rsidR="008472C0" w:rsidRPr="009B7685" w:rsidRDefault="4F2C0FBD" w:rsidP="4F2C0FBD">
            <w:pPr>
              <w:rPr>
                <w:rFonts w:eastAsiaTheme="minorEastAsia"/>
                <w:b/>
                <w:bCs/>
              </w:rPr>
            </w:pPr>
            <w:r w:rsidRPr="4F2C0FBD">
              <w:rPr>
                <w:rFonts w:eastAsiaTheme="minorEastAsia"/>
                <w:b/>
                <w:bCs/>
              </w:rPr>
              <w:t xml:space="preserve">Telefone: </w:t>
            </w:r>
            <w:r w:rsidRPr="4F2C0FBD">
              <w:rPr>
                <w:rFonts w:eastAsiaTheme="minorEastAsia"/>
                <w:b/>
                <w:bCs/>
                <w:color w:val="4F81BD" w:themeColor="accent1"/>
              </w:rPr>
              <w:t>(61) 99557-9844</w:t>
            </w:r>
          </w:p>
          <w:p w14:paraId="3A532F52" w14:textId="77777777" w:rsidR="008472C0" w:rsidRPr="009B7685" w:rsidRDefault="4F2C0FBD" w:rsidP="4F2C0FBD">
            <w:pPr>
              <w:rPr>
                <w:rFonts w:eastAsiaTheme="minorEastAsia"/>
                <w:b/>
                <w:bCs/>
              </w:rPr>
            </w:pPr>
            <w:r w:rsidRPr="4F2C0FBD">
              <w:rPr>
                <w:rFonts w:eastAsiaTheme="minorEastAsia"/>
                <w:b/>
                <w:bCs/>
              </w:rPr>
              <w:t xml:space="preserve">E-mail: </w:t>
            </w:r>
            <w:r w:rsidRPr="4F2C0FBD">
              <w:rPr>
                <w:rFonts w:eastAsiaTheme="minorEastAsia"/>
                <w:b/>
                <w:bCs/>
                <w:color w:val="4F81BD" w:themeColor="accent1"/>
              </w:rPr>
              <w:t>gustavo@netapp.com</w:t>
            </w:r>
          </w:p>
          <w:p w14:paraId="244B2EB0" w14:textId="77777777" w:rsidR="008472C0" w:rsidRPr="009B7685" w:rsidRDefault="4F2C0FBD" w:rsidP="4F2C0FBD">
            <w:pPr>
              <w:rPr>
                <w:rFonts w:eastAsiaTheme="minorEastAsia"/>
              </w:rPr>
            </w:pPr>
            <w:r w:rsidRPr="4F2C0FBD">
              <w:rPr>
                <w:rFonts w:eastAsiaTheme="minorEastAsia"/>
                <w:b/>
                <w:bCs/>
              </w:rPr>
              <w:t xml:space="preserve">Contato: </w:t>
            </w:r>
            <w:r w:rsidRPr="4F2C0FBD">
              <w:rPr>
                <w:rFonts w:eastAsiaTheme="minorEastAsia"/>
                <w:b/>
                <w:bCs/>
                <w:color w:val="4F81BD" w:themeColor="accent1"/>
              </w:rPr>
              <w:t>Gustavo Guarnieri</w:t>
            </w:r>
          </w:p>
        </w:tc>
      </w:tr>
      <w:tr w:rsidR="008472C0" w:rsidRPr="009B7685" w14:paraId="2F408665" w14:textId="77777777" w:rsidTr="4F2C0FBD">
        <w:tc>
          <w:tcPr>
            <w:tcW w:w="541" w:type="dxa"/>
            <w:shd w:val="clear" w:color="auto" w:fill="D9D9D9" w:themeFill="background1" w:themeFillShade="D9"/>
          </w:tcPr>
          <w:p w14:paraId="1A2E75E0" w14:textId="77777777" w:rsidR="008472C0" w:rsidRPr="009B7685" w:rsidRDefault="008472C0" w:rsidP="0069655B">
            <w:pPr>
              <w:jc w:val="center"/>
              <w:rPr>
                <w:rFonts w:cstheme="minorHAnsi"/>
                <w:b/>
              </w:rPr>
            </w:pPr>
          </w:p>
          <w:p w14:paraId="036CDF55" w14:textId="77777777" w:rsidR="008472C0" w:rsidRPr="009B7685" w:rsidRDefault="008472C0" w:rsidP="0069655B">
            <w:pPr>
              <w:jc w:val="center"/>
              <w:rPr>
                <w:rFonts w:cstheme="minorHAnsi"/>
                <w:b/>
              </w:rPr>
            </w:pPr>
          </w:p>
          <w:p w14:paraId="02C061E7" w14:textId="77777777" w:rsidR="008472C0" w:rsidRPr="009B7685" w:rsidRDefault="4F2C0FBD" w:rsidP="4F2C0FBD">
            <w:pPr>
              <w:jc w:val="center"/>
              <w:rPr>
                <w:rFonts w:eastAsiaTheme="minorEastAsia"/>
                <w:b/>
                <w:bCs/>
              </w:rPr>
            </w:pPr>
            <w:r w:rsidRPr="4F2C0FBD">
              <w:rPr>
                <w:rFonts w:eastAsiaTheme="minorEastAsia"/>
                <w:b/>
                <w:bCs/>
              </w:rPr>
              <w:t>6</w:t>
            </w:r>
          </w:p>
        </w:tc>
        <w:tc>
          <w:tcPr>
            <w:tcW w:w="7953" w:type="dxa"/>
          </w:tcPr>
          <w:p w14:paraId="297879DD" w14:textId="77777777" w:rsidR="008472C0" w:rsidRPr="009B7685" w:rsidRDefault="4F2C0FBD" w:rsidP="4F2C0FBD">
            <w:pPr>
              <w:rPr>
                <w:rFonts w:eastAsiaTheme="minorEastAsia"/>
                <w:b/>
                <w:bCs/>
              </w:rPr>
            </w:pPr>
            <w:r w:rsidRPr="4F2C0FBD">
              <w:rPr>
                <w:rFonts w:eastAsiaTheme="minorEastAsia"/>
                <w:b/>
                <w:bCs/>
              </w:rPr>
              <w:t xml:space="preserve">Nome: </w:t>
            </w:r>
            <w:r w:rsidRPr="4F2C0FBD">
              <w:rPr>
                <w:rFonts w:eastAsiaTheme="minorEastAsia"/>
                <w:b/>
                <w:bCs/>
                <w:color w:val="4F80BD"/>
              </w:rPr>
              <w:t>Huawei</w:t>
            </w:r>
          </w:p>
          <w:p w14:paraId="0DE7EDCE" w14:textId="77777777" w:rsidR="008472C0" w:rsidRPr="009B7685" w:rsidRDefault="4F2C0FBD" w:rsidP="4F2C0FBD">
            <w:pPr>
              <w:rPr>
                <w:rFonts w:eastAsiaTheme="minorEastAsia"/>
                <w:b/>
                <w:bCs/>
              </w:rPr>
            </w:pPr>
            <w:r w:rsidRPr="4F2C0FBD">
              <w:rPr>
                <w:rFonts w:eastAsiaTheme="minorEastAsia"/>
                <w:b/>
                <w:bCs/>
              </w:rPr>
              <w:t xml:space="preserve">Sítio: </w:t>
            </w:r>
            <w:r w:rsidRPr="4F2C0FBD">
              <w:rPr>
                <w:rFonts w:eastAsiaTheme="minorEastAsia"/>
                <w:b/>
                <w:bCs/>
                <w:color w:val="4F81BD" w:themeColor="accent1"/>
              </w:rPr>
              <w:t>http://www.huawei.com</w:t>
            </w:r>
          </w:p>
          <w:p w14:paraId="159AAC24" w14:textId="77777777" w:rsidR="008472C0" w:rsidRPr="009B7685" w:rsidRDefault="4F2C0FBD" w:rsidP="4F2C0FBD">
            <w:pPr>
              <w:rPr>
                <w:rFonts w:eastAsiaTheme="minorEastAsia"/>
                <w:b/>
                <w:bCs/>
              </w:rPr>
            </w:pPr>
            <w:r w:rsidRPr="4F2C0FBD">
              <w:rPr>
                <w:rFonts w:eastAsiaTheme="minorEastAsia"/>
                <w:b/>
                <w:bCs/>
              </w:rPr>
              <w:t xml:space="preserve">Telefone: </w:t>
            </w:r>
            <w:r w:rsidRPr="4F2C0FBD">
              <w:rPr>
                <w:rFonts w:eastAsiaTheme="minorEastAsia"/>
                <w:b/>
                <w:bCs/>
                <w:color w:val="4F81BD" w:themeColor="accent1"/>
              </w:rPr>
              <w:t>(61) 99272-7715</w:t>
            </w:r>
          </w:p>
          <w:p w14:paraId="69CA8C4F" w14:textId="77777777" w:rsidR="008472C0" w:rsidRPr="009B7685" w:rsidRDefault="4F2C0FBD" w:rsidP="4F2C0FBD">
            <w:pPr>
              <w:rPr>
                <w:rFonts w:eastAsiaTheme="minorEastAsia"/>
                <w:b/>
                <w:bCs/>
              </w:rPr>
            </w:pPr>
            <w:r w:rsidRPr="4F2C0FBD">
              <w:rPr>
                <w:rFonts w:eastAsiaTheme="minorEastAsia"/>
                <w:b/>
                <w:bCs/>
              </w:rPr>
              <w:t xml:space="preserve">E-mail: </w:t>
            </w:r>
            <w:r w:rsidRPr="4F2C0FBD">
              <w:rPr>
                <w:rFonts w:eastAsiaTheme="minorEastAsia"/>
                <w:b/>
                <w:bCs/>
                <w:color w:val="4F81BD" w:themeColor="accent1"/>
              </w:rPr>
              <w:t>marcelo.navarro@huawei.com</w:t>
            </w:r>
          </w:p>
          <w:p w14:paraId="1A75AB7C" w14:textId="77777777" w:rsidR="008472C0" w:rsidRPr="009B7685" w:rsidRDefault="4F2C0FBD" w:rsidP="4F2C0FBD">
            <w:pPr>
              <w:rPr>
                <w:rFonts w:eastAsiaTheme="minorEastAsia"/>
              </w:rPr>
            </w:pPr>
            <w:r w:rsidRPr="4F2C0FBD">
              <w:rPr>
                <w:rFonts w:eastAsiaTheme="minorEastAsia"/>
                <w:b/>
                <w:bCs/>
              </w:rPr>
              <w:t xml:space="preserve">Contato: </w:t>
            </w:r>
            <w:r w:rsidRPr="4F2C0FBD">
              <w:rPr>
                <w:rFonts w:eastAsiaTheme="minorEastAsia"/>
                <w:b/>
                <w:bCs/>
                <w:color w:val="4F81BD" w:themeColor="accent1"/>
              </w:rPr>
              <w:t>Marcelo Navarro Oliveira</w:t>
            </w:r>
          </w:p>
        </w:tc>
      </w:tr>
    </w:tbl>
    <w:p w14:paraId="59709C11" w14:textId="77777777" w:rsidR="008472C0" w:rsidRPr="009B7685" w:rsidRDefault="008472C0" w:rsidP="008472C0">
      <w:pPr>
        <w:rPr>
          <w:rFonts w:cstheme="minorHAnsi"/>
          <w:sz w:val="24"/>
          <w:szCs w:val="24"/>
        </w:rPr>
      </w:pPr>
    </w:p>
    <w:p w14:paraId="50202E0A" w14:textId="77777777" w:rsidR="008472C0" w:rsidRPr="009B7685" w:rsidRDefault="008472C0" w:rsidP="008472C0">
      <w:pPr>
        <w:rPr>
          <w:rFonts w:cstheme="minorHAnsi"/>
          <w:sz w:val="24"/>
          <w:szCs w:val="24"/>
        </w:rPr>
      </w:pPr>
    </w:p>
    <w:p w14:paraId="7D9304C1" w14:textId="77777777" w:rsidR="008472C0" w:rsidRPr="009B7685" w:rsidRDefault="008472C0" w:rsidP="008472C0">
      <w:pPr>
        <w:rPr>
          <w:rFonts w:cstheme="minorHAnsi"/>
          <w:sz w:val="24"/>
          <w:szCs w:val="24"/>
        </w:rPr>
      </w:pPr>
    </w:p>
    <w:p w14:paraId="0C2A5920" w14:textId="77777777" w:rsidR="008472C0" w:rsidRPr="009B7685" w:rsidRDefault="008472C0" w:rsidP="008472C0">
      <w:pPr>
        <w:rPr>
          <w:rFonts w:cstheme="minorHAnsi"/>
          <w:sz w:val="24"/>
          <w:szCs w:val="24"/>
        </w:rPr>
      </w:pPr>
    </w:p>
    <w:p w14:paraId="4FA9E196" w14:textId="77777777" w:rsidR="008472C0" w:rsidRPr="009B7685" w:rsidRDefault="008472C0" w:rsidP="008472C0">
      <w:pPr>
        <w:rPr>
          <w:rFonts w:cstheme="minorHAnsi"/>
          <w:sz w:val="24"/>
          <w:szCs w:val="24"/>
        </w:rPr>
      </w:pPr>
    </w:p>
    <w:p w14:paraId="434023D7" w14:textId="77777777" w:rsidR="008472C0" w:rsidRPr="009B7685" w:rsidRDefault="008472C0" w:rsidP="008472C0">
      <w:pPr>
        <w:rPr>
          <w:rFonts w:cstheme="minorHAnsi"/>
          <w:sz w:val="24"/>
          <w:szCs w:val="24"/>
        </w:rPr>
      </w:pPr>
    </w:p>
    <w:p w14:paraId="0EABBB9C" w14:textId="77777777" w:rsidR="008472C0" w:rsidRPr="009B7685" w:rsidRDefault="008472C0" w:rsidP="008472C0">
      <w:pPr>
        <w:rPr>
          <w:rFonts w:cstheme="minorHAnsi"/>
          <w:sz w:val="24"/>
          <w:szCs w:val="24"/>
        </w:rPr>
      </w:pPr>
    </w:p>
    <w:p w14:paraId="6D49149A" w14:textId="77777777" w:rsidR="008472C0" w:rsidRPr="009B7685" w:rsidRDefault="008472C0" w:rsidP="008472C0">
      <w:pPr>
        <w:rPr>
          <w:rFonts w:cstheme="minorHAnsi"/>
          <w:sz w:val="24"/>
          <w:szCs w:val="24"/>
        </w:rPr>
      </w:pPr>
    </w:p>
    <w:p w14:paraId="27A85C58" w14:textId="77777777" w:rsidR="008472C0" w:rsidRPr="009B7685" w:rsidRDefault="008472C0" w:rsidP="008472C0">
      <w:pPr>
        <w:pStyle w:val="Ttulo1"/>
        <w:numPr>
          <w:ilvl w:val="0"/>
          <w:numId w:val="0"/>
        </w:numPr>
        <w:ind w:left="432"/>
        <w:rPr>
          <w:rFonts w:asciiTheme="minorHAnsi" w:hAnsiTheme="minorHAnsi" w:cstheme="minorHAnsi"/>
          <w:sz w:val="24"/>
          <w:szCs w:val="24"/>
        </w:rPr>
      </w:pPr>
    </w:p>
    <w:p w14:paraId="083AB672" w14:textId="77777777" w:rsidR="00EC1003" w:rsidRPr="008472C0" w:rsidRDefault="00EC1003" w:rsidP="008472C0"/>
    <w:sectPr w:rsidR="00EC1003" w:rsidRPr="008472C0" w:rsidSect="003C0378">
      <w:headerReference w:type="default" r:id="rId29"/>
      <w:footerReference w:type="default" r:id="rId30"/>
      <w:headerReference w:type="first" r:id="rId31"/>
      <w:footerReference w:type="first" r:id="rId32"/>
      <w:pgSz w:w="11906" w:h="16838" w:code="9"/>
      <w:pgMar w:top="1417" w:right="170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2C647" w14:textId="77777777" w:rsidR="00E70D29" w:rsidRDefault="00E70D29" w:rsidP="003A6FDE">
      <w:pPr>
        <w:spacing w:line="240" w:lineRule="auto"/>
      </w:pPr>
      <w:r>
        <w:separator/>
      </w:r>
    </w:p>
  </w:endnote>
  <w:endnote w:type="continuationSeparator" w:id="0">
    <w:p w14:paraId="1D66961A" w14:textId="77777777" w:rsidR="00E70D29" w:rsidRDefault="00E70D29" w:rsidP="003A6FDE">
      <w:pPr>
        <w:spacing w:line="240" w:lineRule="auto"/>
      </w:pPr>
      <w:r>
        <w:continuationSeparator/>
      </w:r>
    </w:p>
  </w:endnote>
  <w:endnote w:type="continuationNotice" w:id="1">
    <w:p w14:paraId="27B457FF" w14:textId="77777777" w:rsidR="00E70D29" w:rsidRDefault="00E70D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Times New Roma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954075"/>
      <w:docPartObj>
        <w:docPartGallery w:val="Page Numbers (Bottom of Page)"/>
        <w:docPartUnique/>
      </w:docPartObj>
    </w:sdtPr>
    <w:sdtEndPr/>
    <w:sdtContent>
      <w:p w14:paraId="7EFB0E3A" w14:textId="6BF00CA7" w:rsidR="00BD6890" w:rsidRDefault="00BD6890">
        <w:pPr>
          <w:pStyle w:val="Rodap"/>
          <w:jc w:val="right"/>
        </w:pPr>
        <w:r>
          <w:fldChar w:fldCharType="begin"/>
        </w:r>
        <w:r>
          <w:instrText>PAGE   \* MERGEFORMAT</w:instrText>
        </w:r>
        <w:r>
          <w:fldChar w:fldCharType="separate"/>
        </w:r>
        <w:r w:rsidR="0034132F">
          <w:rPr>
            <w:noProof/>
          </w:rPr>
          <w:t>20</w:t>
        </w:r>
        <w:r>
          <w:fldChar w:fldCharType="end"/>
        </w:r>
      </w:p>
    </w:sdtContent>
  </w:sdt>
  <w:p w14:paraId="44D03884" w14:textId="343F1499" w:rsidR="00BD6890" w:rsidRDefault="00044427">
    <w:pPr>
      <w:pStyle w:val="Rodap"/>
    </w:pPr>
    <w:sdt>
      <w:sdtPr>
        <w:alias w:val="Título"/>
        <w:tag w:val=""/>
        <w:id w:val="1644318476"/>
        <w:dataBinding w:prefixMappings="xmlns:ns0='http://purl.org/dc/elements/1.1/' xmlns:ns1='http://schemas.openxmlformats.org/package/2006/metadata/core-properties' " w:xpath="/ns1:coreProperties[1]/ns0:title[1]" w:storeItemID="{6C3C8BC8-F283-45AE-878A-BAB7291924A1}"/>
        <w:text/>
      </w:sdtPr>
      <w:sdtEndPr/>
      <w:sdtContent>
        <w:r w:rsidR="00BD6890">
          <w:t>Estudos Preliminares</w:t>
        </w:r>
      </w:sdtContent>
    </w:sdt>
    <w:r w:rsidR="00BD6890">
      <w:t xml:space="preserve"> – </w:t>
    </w:r>
    <w:sdt>
      <w:sdtPr>
        <w:rPr>
          <w:i/>
        </w:rPr>
        <w:alias w:val="Assunto"/>
        <w:tag w:val=""/>
        <w:id w:val="-424499939"/>
        <w:dataBinding w:prefixMappings="xmlns:ns0='http://purl.org/dc/elements/1.1/' xmlns:ns1='http://schemas.openxmlformats.org/package/2006/metadata/core-properties' " w:xpath="/ns1:coreProperties[1]/ns0:subject[1]" w:storeItemID="{6C3C8BC8-F283-45AE-878A-BAB7291924A1}"/>
        <w:text/>
      </w:sdtPr>
      <w:sdtEndPr/>
      <w:sdtContent>
        <w:r w:rsidR="00BD6890">
          <w:rPr>
            <w:i/>
          </w:rPr>
          <w:t>Aquisição de Storage com suporte técnico e garantia</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165606"/>
      <w:docPartObj>
        <w:docPartGallery w:val="Page Numbers (Bottom of Page)"/>
        <w:docPartUnique/>
      </w:docPartObj>
    </w:sdtPr>
    <w:sdtEndPr/>
    <w:sdtContent>
      <w:p w14:paraId="734DF9A8" w14:textId="3BC30AE8" w:rsidR="00BD6890" w:rsidRDefault="00BD6890" w:rsidP="00A4219C">
        <w:pPr>
          <w:pStyle w:val="Rodap"/>
          <w:jc w:val="right"/>
        </w:pPr>
        <w:r>
          <w:fldChar w:fldCharType="begin"/>
        </w:r>
        <w:r>
          <w:instrText>PAGE   \* MERGEFORMAT</w:instrText>
        </w:r>
        <w:r>
          <w:fldChar w:fldCharType="separate"/>
        </w:r>
        <w:r w:rsidR="0034132F">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73B63" w14:textId="77777777" w:rsidR="00E70D29" w:rsidRDefault="00E70D29" w:rsidP="003A6FDE">
      <w:pPr>
        <w:spacing w:line="240" w:lineRule="auto"/>
      </w:pPr>
      <w:r>
        <w:separator/>
      </w:r>
    </w:p>
  </w:footnote>
  <w:footnote w:type="continuationSeparator" w:id="0">
    <w:p w14:paraId="77600B79" w14:textId="77777777" w:rsidR="00E70D29" w:rsidRDefault="00E70D29" w:rsidP="003A6FDE">
      <w:pPr>
        <w:spacing w:line="240" w:lineRule="auto"/>
      </w:pPr>
      <w:r>
        <w:continuationSeparator/>
      </w:r>
    </w:p>
  </w:footnote>
  <w:footnote w:type="continuationNotice" w:id="1">
    <w:p w14:paraId="6977D059" w14:textId="77777777" w:rsidR="00E70D29" w:rsidRDefault="00E70D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ACC5" w14:textId="71046B2B" w:rsidR="00BD6890" w:rsidRPr="008205B9" w:rsidRDefault="00BD6890" w:rsidP="4F2C0FBD">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15C74080" wp14:editId="77C878F2">
          <wp:simplePos x="0" y="0"/>
          <wp:positionH relativeFrom="rightMargin">
            <wp:posOffset>57785</wp:posOffset>
          </wp:positionH>
          <wp:positionV relativeFrom="paragraph">
            <wp:posOffset>-181610</wp:posOffset>
          </wp:positionV>
          <wp:extent cx="685800" cy="664210"/>
          <wp:effectExtent l="0" t="0" r="0" b="254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50752778" wp14:editId="54E05967">
          <wp:simplePos x="0" y="0"/>
          <wp:positionH relativeFrom="column">
            <wp:posOffset>128270</wp:posOffset>
          </wp:positionH>
          <wp:positionV relativeFrom="paragraph">
            <wp:posOffset>-78740</wp:posOffset>
          </wp:positionV>
          <wp:extent cx="733425" cy="638175"/>
          <wp:effectExtent l="0" t="0" r="9525" b="9525"/>
          <wp:wrapNone/>
          <wp:docPr id="16" name="Imagem 16"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6ED311D8">
      <w:rPr>
        <w:rFonts w:ascii="Arial" w:eastAsia="Arial" w:hAnsi="Arial" w:cs="Arial"/>
        <w:b/>
        <w:bCs/>
        <w:sz w:val="18"/>
        <w:szCs w:val="18"/>
      </w:rPr>
      <w:t>Tribunal de Justiça de Mato Grosso</w:t>
    </w:r>
    <w:r>
      <w:rPr>
        <w:rFonts w:ascii="Arial" w:hAnsi="Arial" w:cs="Arial"/>
        <w:b/>
        <w:sz w:val="18"/>
      </w:rPr>
      <w:tab/>
    </w:r>
  </w:p>
  <w:p w14:paraId="31FEDC75" w14:textId="5D04E479" w:rsidR="00BD6890" w:rsidRPr="008205B9" w:rsidRDefault="00BD6890" w:rsidP="4F2C0FBD">
    <w:pPr>
      <w:pStyle w:val="Rodap"/>
      <w:spacing w:line="276" w:lineRule="auto"/>
      <w:ind w:left="1701"/>
      <w:rPr>
        <w:rFonts w:ascii="Arial" w:eastAsia="Arial" w:hAnsi="Arial" w:cs="Arial"/>
        <w:b/>
        <w:bCs/>
        <w:sz w:val="18"/>
        <w:szCs w:val="18"/>
      </w:rPr>
    </w:pPr>
    <w:r w:rsidRPr="4F2C0FBD">
      <w:rPr>
        <w:rFonts w:ascii="Arial" w:eastAsia="Arial" w:hAnsi="Arial" w:cs="Arial"/>
        <w:b/>
        <w:bCs/>
        <w:sz w:val="18"/>
        <w:szCs w:val="18"/>
      </w:rPr>
      <w:t xml:space="preserve">Coordenadoria de Tecnologia da Informação                                       </w:t>
    </w:r>
  </w:p>
  <w:p w14:paraId="195C34A5" w14:textId="77777777" w:rsidR="00BD6890" w:rsidRDefault="00BD6890" w:rsidP="4F2C0FBD">
    <w:pPr>
      <w:pStyle w:val="Rodap"/>
      <w:spacing w:line="276" w:lineRule="auto"/>
      <w:ind w:left="1701"/>
      <w:rPr>
        <w:rFonts w:ascii="Arial" w:eastAsia="Arial" w:hAnsi="Arial" w:cs="Arial"/>
        <w:b/>
        <w:bCs/>
        <w:sz w:val="18"/>
        <w:szCs w:val="18"/>
      </w:rPr>
    </w:pPr>
    <w:r w:rsidRPr="4F2C0FBD">
      <w:rPr>
        <w:rFonts w:ascii="Arial" w:eastAsia="Arial" w:hAnsi="Arial" w:cs="Arial"/>
        <w:b/>
        <w:bCs/>
        <w:sz w:val="18"/>
        <w:szCs w:val="18"/>
      </w:rPr>
      <w:t>Departamento de Conectividade</w:t>
    </w:r>
  </w:p>
  <w:p w14:paraId="015C6401" w14:textId="41437C43" w:rsidR="00BD6890" w:rsidRDefault="00BD6890" w:rsidP="4F2C0FBD">
    <w:pPr>
      <w:pStyle w:val="Rodap"/>
      <w:pBdr>
        <w:bottom w:val="single" w:sz="12" w:space="1" w:color="auto"/>
      </w:pBdr>
      <w:spacing w:line="276" w:lineRule="auto"/>
      <w:ind w:firstLine="1701"/>
      <w:rPr>
        <w:rFonts w:ascii="Arial" w:eastAsia="Arial" w:hAnsi="Arial" w:cs="Arial"/>
        <w:b/>
        <w:bCs/>
        <w:sz w:val="18"/>
        <w:szCs w:val="18"/>
      </w:rPr>
    </w:pPr>
    <w:r w:rsidRPr="4F2C0FBD">
      <w:rPr>
        <w:rFonts w:ascii="Arial" w:eastAsia="Arial" w:hAnsi="Arial" w:cs="Arial"/>
        <w:b/>
        <w:bCs/>
        <w:sz w:val="18"/>
        <w:szCs w:val="18"/>
      </w:rPr>
      <w:t>Versão 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998C" w14:textId="240CCE83" w:rsidR="00BD6890" w:rsidRPr="008205B9" w:rsidRDefault="00BD6890" w:rsidP="4F2C0FBD">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69419726" wp14:editId="332A0C4D">
          <wp:simplePos x="0" y="0"/>
          <wp:positionH relativeFrom="rightMargin">
            <wp:posOffset>635</wp:posOffset>
          </wp:positionH>
          <wp:positionV relativeFrom="paragraph">
            <wp:posOffset>-219710</wp:posOffset>
          </wp:positionV>
          <wp:extent cx="685800" cy="664210"/>
          <wp:effectExtent l="0" t="0" r="0" b="254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0A1A4E5" wp14:editId="543FA0C2">
          <wp:simplePos x="0" y="0"/>
          <wp:positionH relativeFrom="column">
            <wp:posOffset>128270</wp:posOffset>
          </wp:positionH>
          <wp:positionV relativeFrom="paragraph">
            <wp:posOffset>-78740</wp:posOffset>
          </wp:positionV>
          <wp:extent cx="733425" cy="638175"/>
          <wp:effectExtent l="0" t="0" r="9525" b="9525"/>
          <wp:wrapNone/>
          <wp:docPr id="18" name="Imagem 1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6ED311D8">
      <w:rPr>
        <w:rFonts w:ascii="Arial" w:eastAsia="Arial" w:hAnsi="Arial" w:cs="Arial"/>
        <w:b/>
        <w:bCs/>
        <w:sz w:val="18"/>
        <w:szCs w:val="18"/>
      </w:rPr>
      <w:t>Tribunal de Justiça de Mato Grosso</w:t>
    </w:r>
  </w:p>
  <w:p w14:paraId="324660B6" w14:textId="77777777" w:rsidR="00BD6890" w:rsidRPr="008205B9" w:rsidRDefault="00BD6890" w:rsidP="4F2C0FBD">
    <w:pPr>
      <w:pStyle w:val="Rodap"/>
      <w:spacing w:line="276" w:lineRule="auto"/>
      <w:ind w:left="1701"/>
      <w:rPr>
        <w:rFonts w:ascii="Arial" w:eastAsia="Arial" w:hAnsi="Arial" w:cs="Arial"/>
        <w:b/>
        <w:bCs/>
        <w:sz w:val="18"/>
        <w:szCs w:val="18"/>
      </w:rPr>
    </w:pPr>
    <w:r w:rsidRPr="4F2C0FBD">
      <w:rPr>
        <w:rFonts w:ascii="Arial" w:eastAsia="Arial" w:hAnsi="Arial" w:cs="Arial"/>
        <w:b/>
        <w:bCs/>
        <w:sz w:val="18"/>
        <w:szCs w:val="18"/>
      </w:rPr>
      <w:t>Coordenadoria de Tecnologia da Informação</w:t>
    </w:r>
  </w:p>
  <w:p w14:paraId="792486D5" w14:textId="7F338946" w:rsidR="00BD6890" w:rsidRDefault="00BD6890" w:rsidP="4F2C0FBD">
    <w:pPr>
      <w:pStyle w:val="Rodap"/>
      <w:spacing w:line="276" w:lineRule="auto"/>
      <w:ind w:left="1701"/>
      <w:rPr>
        <w:rFonts w:ascii="Arial" w:eastAsia="Arial" w:hAnsi="Arial" w:cs="Arial"/>
        <w:b/>
        <w:bCs/>
        <w:sz w:val="18"/>
        <w:szCs w:val="18"/>
      </w:rPr>
    </w:pPr>
    <w:r w:rsidRPr="4F2C0FBD">
      <w:rPr>
        <w:rFonts w:ascii="Arial" w:eastAsia="Arial" w:hAnsi="Arial" w:cs="Arial"/>
        <w:b/>
        <w:bCs/>
        <w:sz w:val="18"/>
        <w:szCs w:val="18"/>
      </w:rPr>
      <w:t>Departamento de Conectividade</w:t>
    </w:r>
  </w:p>
  <w:p w14:paraId="7DB603B8" w14:textId="31DC6196" w:rsidR="00BD6890" w:rsidRDefault="00BD6890" w:rsidP="4F2C0FBD">
    <w:pPr>
      <w:pStyle w:val="Rodap"/>
      <w:pBdr>
        <w:bottom w:val="single" w:sz="12" w:space="1" w:color="auto"/>
      </w:pBdr>
      <w:spacing w:line="276" w:lineRule="auto"/>
      <w:ind w:firstLine="1701"/>
      <w:rPr>
        <w:rFonts w:ascii="Arial" w:eastAsia="Arial" w:hAnsi="Arial" w:cs="Arial"/>
        <w:b/>
        <w:bCs/>
        <w:sz w:val="18"/>
        <w:szCs w:val="18"/>
      </w:rPr>
    </w:pPr>
    <w:r w:rsidRPr="4F2C0FBD">
      <w:rPr>
        <w:rFonts w:ascii="Arial" w:eastAsia="Arial" w:hAnsi="Arial" w:cs="Arial"/>
        <w:b/>
        <w:bCs/>
        <w:sz w:val="18"/>
        <w:szCs w:val="18"/>
      </w:rPr>
      <w:t>Versão 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E"/>
    <w:multiLevelType w:val="multilevel"/>
    <w:tmpl w:val="0000002E"/>
    <w:name w:val="WW8Num21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rFonts w:ascii="Arial" w:hAnsi="Arial" w:cs="Arial"/>
      </w:rPr>
    </w:lvl>
    <w:lvl w:ilvl="2">
      <w:start w:val="1"/>
      <w:numFmt w:val="lowerRoman"/>
      <w:lvlText w:val="%3."/>
      <w:lvlJc w:val="right"/>
      <w:pPr>
        <w:tabs>
          <w:tab w:val="num" w:pos="0"/>
        </w:tabs>
        <w:ind w:left="2160" w:hanging="180"/>
      </w:pPr>
      <w:rPr>
        <w:rFonts w:ascii="Arial" w:hAnsi="Arial" w:cs="Aria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CE37BC"/>
    <w:multiLevelType w:val="hybridMultilevel"/>
    <w:tmpl w:val="C3AE970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200C1F"/>
    <w:multiLevelType w:val="hybridMultilevel"/>
    <w:tmpl w:val="4858D76C"/>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0948433D"/>
    <w:multiLevelType w:val="multilevel"/>
    <w:tmpl w:val="91422A28"/>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4" w15:restartNumberingAfterBreak="0">
    <w:nsid w:val="0A4F2770"/>
    <w:multiLevelType w:val="hybridMultilevel"/>
    <w:tmpl w:val="69D8FCF6"/>
    <w:lvl w:ilvl="0" w:tplc="04160001">
      <w:start w:val="1"/>
      <w:numFmt w:val="bullet"/>
      <w:lvlText w:val=""/>
      <w:lvlJc w:val="left"/>
      <w:pPr>
        <w:ind w:left="1485" w:hanging="360"/>
      </w:pPr>
      <w:rPr>
        <w:rFonts w:ascii="Symbol" w:hAnsi="Symbol" w:hint="default"/>
      </w:rPr>
    </w:lvl>
    <w:lvl w:ilvl="1" w:tplc="04160003">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5" w15:restartNumberingAfterBreak="0">
    <w:nsid w:val="19A049FA"/>
    <w:multiLevelType w:val="hybridMultilevel"/>
    <w:tmpl w:val="A4A6FF90"/>
    <w:lvl w:ilvl="0" w:tplc="04160001">
      <w:start w:val="1"/>
      <w:numFmt w:val="bullet"/>
      <w:lvlText w:val=""/>
      <w:lvlJc w:val="left"/>
      <w:pPr>
        <w:ind w:left="1485"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6" w15:restartNumberingAfterBreak="0">
    <w:nsid w:val="21404B29"/>
    <w:multiLevelType w:val="hybridMultilevel"/>
    <w:tmpl w:val="72BAC7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15:restartNumberingAfterBreak="0">
    <w:nsid w:val="219B6CB8"/>
    <w:multiLevelType w:val="hybridMultilevel"/>
    <w:tmpl w:val="3B14B94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 w15:restartNumberingAfterBreak="0">
    <w:nsid w:val="246C0512"/>
    <w:multiLevelType w:val="hybridMultilevel"/>
    <w:tmpl w:val="D6983D52"/>
    <w:lvl w:ilvl="0" w:tplc="04160001">
      <w:start w:val="1"/>
      <w:numFmt w:val="bullet"/>
      <w:lvlText w:val=""/>
      <w:lvlJc w:val="left"/>
      <w:pPr>
        <w:ind w:left="1776" w:hanging="360"/>
      </w:pPr>
      <w:rPr>
        <w:rFonts w:ascii="Symbol" w:hAnsi="Symbol" w:hint="default"/>
      </w:rPr>
    </w:lvl>
    <w:lvl w:ilvl="1" w:tplc="04160003">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9"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FCC4F95"/>
    <w:multiLevelType w:val="hybridMultilevel"/>
    <w:tmpl w:val="B87C0E3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15:restartNumberingAfterBreak="0">
    <w:nsid w:val="30486E3D"/>
    <w:multiLevelType w:val="hybridMultilevel"/>
    <w:tmpl w:val="B0565EA8"/>
    <w:lvl w:ilvl="0" w:tplc="04160015">
      <w:start w:val="1"/>
      <w:numFmt w:val="upperLetter"/>
      <w:lvlText w:val="%1."/>
      <w:lvlJc w:val="left"/>
      <w:pPr>
        <w:ind w:left="1068" w:hanging="360"/>
      </w:p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33DE1A31"/>
    <w:multiLevelType w:val="multilevel"/>
    <w:tmpl w:val="1F4E3BF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15:restartNumberingAfterBreak="0">
    <w:nsid w:val="357042C4"/>
    <w:multiLevelType w:val="hybridMultilevel"/>
    <w:tmpl w:val="444EB320"/>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4" w15:restartNumberingAfterBreak="0">
    <w:nsid w:val="35913736"/>
    <w:multiLevelType w:val="hybridMultilevel"/>
    <w:tmpl w:val="9B941F76"/>
    <w:lvl w:ilvl="0" w:tplc="FFFFFFFF">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16" w15:restartNumberingAfterBreak="0">
    <w:nsid w:val="3F8B6708"/>
    <w:multiLevelType w:val="hybridMultilevel"/>
    <w:tmpl w:val="B91ABB54"/>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59C47AB"/>
    <w:multiLevelType w:val="hybridMultilevel"/>
    <w:tmpl w:val="FF9464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ACE0975"/>
    <w:multiLevelType w:val="hybridMultilevel"/>
    <w:tmpl w:val="3D66FCF4"/>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4EE705E"/>
    <w:multiLevelType w:val="multilevel"/>
    <w:tmpl w:val="908A9DA0"/>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Theme="minorHAnsi" w:hAnsiTheme="minorHAnsi" w:cstheme="minorHAnsi" w:hint="default"/>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56053312"/>
    <w:multiLevelType w:val="hybridMultilevel"/>
    <w:tmpl w:val="93E05F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59666F4C"/>
    <w:multiLevelType w:val="hybridMultilevel"/>
    <w:tmpl w:val="E774EC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23" w15:restartNumberingAfterBreak="0">
    <w:nsid w:val="5E0411F8"/>
    <w:multiLevelType w:val="hybridMultilevel"/>
    <w:tmpl w:val="2B1AEB7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3">
      <w:start w:val="1"/>
      <w:numFmt w:val="bullet"/>
      <w:lvlText w:val="o"/>
      <w:lvlJc w:val="left"/>
      <w:pPr>
        <w:ind w:left="1800" w:hanging="360"/>
      </w:pPr>
      <w:rPr>
        <w:rFonts w:ascii="Courier New" w:hAnsi="Courier New" w:cs="Courier New" w:hint="default"/>
      </w:rPr>
    </w:lvl>
    <w:lvl w:ilvl="3" w:tplc="0416000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70BB1760"/>
    <w:multiLevelType w:val="hybridMultilevel"/>
    <w:tmpl w:val="D8E8B93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75B205D"/>
    <w:multiLevelType w:val="hybridMultilevel"/>
    <w:tmpl w:val="921CE38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7A525FA1"/>
    <w:multiLevelType w:val="hybridMultilevel"/>
    <w:tmpl w:val="7B0630F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5"/>
  </w:num>
  <w:num w:numId="4">
    <w:abstractNumId w:val="21"/>
  </w:num>
  <w:num w:numId="5">
    <w:abstractNumId w:val="24"/>
  </w:num>
  <w:num w:numId="6">
    <w:abstractNumId w:val="14"/>
  </w:num>
  <w:num w:numId="7">
    <w:abstractNumId w:val="22"/>
  </w:num>
  <w:num w:numId="8">
    <w:abstractNumId w:val="9"/>
  </w:num>
  <w:num w:numId="9">
    <w:abstractNumId w:val="23"/>
  </w:num>
  <w:num w:numId="10">
    <w:abstractNumId w:val="26"/>
  </w:num>
  <w:num w:numId="11">
    <w:abstractNumId w:val="18"/>
  </w:num>
  <w:num w:numId="12">
    <w:abstractNumId w:val="11"/>
  </w:num>
  <w:num w:numId="13">
    <w:abstractNumId w:val="7"/>
  </w:num>
  <w:num w:numId="14">
    <w:abstractNumId w:val="13"/>
  </w:num>
  <w:num w:numId="15">
    <w:abstractNumId w:val="6"/>
  </w:num>
  <w:num w:numId="16">
    <w:abstractNumId w:val="16"/>
  </w:num>
  <w:num w:numId="17">
    <w:abstractNumId w:val="8"/>
  </w:num>
  <w:num w:numId="18">
    <w:abstractNumId w:val="4"/>
  </w:num>
  <w:num w:numId="19">
    <w:abstractNumId w:val="25"/>
  </w:num>
  <w:num w:numId="20">
    <w:abstractNumId w:val="10"/>
  </w:num>
  <w:num w:numId="21">
    <w:abstractNumId w:val="12"/>
  </w:num>
  <w:num w:numId="22">
    <w:abstractNumId w:val="3"/>
  </w:num>
  <w:num w:numId="23">
    <w:abstractNumId w:val="5"/>
  </w:num>
  <w:num w:numId="24">
    <w:abstractNumId w:val="20"/>
  </w:num>
  <w:num w:numId="25">
    <w:abstractNumId w:val="1"/>
  </w:num>
  <w:num w:numId="2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059E"/>
    <w:rsid w:val="0000088C"/>
    <w:rsid w:val="00001718"/>
    <w:rsid w:val="00003F72"/>
    <w:rsid w:val="000055F1"/>
    <w:rsid w:val="00007387"/>
    <w:rsid w:val="000078AA"/>
    <w:rsid w:val="00007FE2"/>
    <w:rsid w:val="00010067"/>
    <w:rsid w:val="00010A57"/>
    <w:rsid w:val="00011B0F"/>
    <w:rsid w:val="0001291B"/>
    <w:rsid w:val="00012A55"/>
    <w:rsid w:val="00013366"/>
    <w:rsid w:val="00015312"/>
    <w:rsid w:val="00015F1B"/>
    <w:rsid w:val="00016D1E"/>
    <w:rsid w:val="00016F44"/>
    <w:rsid w:val="00020AD5"/>
    <w:rsid w:val="00021972"/>
    <w:rsid w:val="00021B2F"/>
    <w:rsid w:val="000225CE"/>
    <w:rsid w:val="00022D6D"/>
    <w:rsid w:val="00022E3E"/>
    <w:rsid w:val="0002330C"/>
    <w:rsid w:val="000233D4"/>
    <w:rsid w:val="0002377C"/>
    <w:rsid w:val="00023788"/>
    <w:rsid w:val="0002389E"/>
    <w:rsid w:val="00023B50"/>
    <w:rsid w:val="000240E1"/>
    <w:rsid w:val="00024401"/>
    <w:rsid w:val="00024599"/>
    <w:rsid w:val="00024ED9"/>
    <w:rsid w:val="00030BC3"/>
    <w:rsid w:val="00031EC1"/>
    <w:rsid w:val="00031FB5"/>
    <w:rsid w:val="0003279B"/>
    <w:rsid w:val="00032EA8"/>
    <w:rsid w:val="00032F0D"/>
    <w:rsid w:val="00033873"/>
    <w:rsid w:val="00033B75"/>
    <w:rsid w:val="0003450C"/>
    <w:rsid w:val="00035255"/>
    <w:rsid w:val="00035D25"/>
    <w:rsid w:val="00036221"/>
    <w:rsid w:val="00036473"/>
    <w:rsid w:val="00036754"/>
    <w:rsid w:val="0003714E"/>
    <w:rsid w:val="00040C0A"/>
    <w:rsid w:val="00041753"/>
    <w:rsid w:val="0004201F"/>
    <w:rsid w:val="00043681"/>
    <w:rsid w:val="00043D42"/>
    <w:rsid w:val="00043FC2"/>
    <w:rsid w:val="0004428B"/>
    <w:rsid w:val="00044427"/>
    <w:rsid w:val="00044EE4"/>
    <w:rsid w:val="0004596E"/>
    <w:rsid w:val="000459EE"/>
    <w:rsid w:val="0004602F"/>
    <w:rsid w:val="00046303"/>
    <w:rsid w:val="00046E4F"/>
    <w:rsid w:val="00047715"/>
    <w:rsid w:val="00051EAD"/>
    <w:rsid w:val="00052B23"/>
    <w:rsid w:val="00052C87"/>
    <w:rsid w:val="00053DCB"/>
    <w:rsid w:val="00055631"/>
    <w:rsid w:val="00055754"/>
    <w:rsid w:val="000559CC"/>
    <w:rsid w:val="00055F3A"/>
    <w:rsid w:val="0005601D"/>
    <w:rsid w:val="00056BD3"/>
    <w:rsid w:val="00056D5E"/>
    <w:rsid w:val="00057703"/>
    <w:rsid w:val="00057BB3"/>
    <w:rsid w:val="00057CAD"/>
    <w:rsid w:val="00057D6F"/>
    <w:rsid w:val="00061586"/>
    <w:rsid w:val="0006213F"/>
    <w:rsid w:val="00062567"/>
    <w:rsid w:val="00062910"/>
    <w:rsid w:val="00062BC0"/>
    <w:rsid w:val="00062BF2"/>
    <w:rsid w:val="00063ADD"/>
    <w:rsid w:val="0006455A"/>
    <w:rsid w:val="000645B9"/>
    <w:rsid w:val="00064705"/>
    <w:rsid w:val="00064BF1"/>
    <w:rsid w:val="00065E56"/>
    <w:rsid w:val="0006704B"/>
    <w:rsid w:val="000671B4"/>
    <w:rsid w:val="0007005E"/>
    <w:rsid w:val="000700D3"/>
    <w:rsid w:val="00070A39"/>
    <w:rsid w:val="000713FA"/>
    <w:rsid w:val="0007166B"/>
    <w:rsid w:val="000721F7"/>
    <w:rsid w:val="00073E0D"/>
    <w:rsid w:val="00075C77"/>
    <w:rsid w:val="00075F78"/>
    <w:rsid w:val="00075FF1"/>
    <w:rsid w:val="000762BD"/>
    <w:rsid w:val="00080BB0"/>
    <w:rsid w:val="00080E18"/>
    <w:rsid w:val="00081201"/>
    <w:rsid w:val="00081BB7"/>
    <w:rsid w:val="00081CB1"/>
    <w:rsid w:val="00082BE3"/>
    <w:rsid w:val="000844BF"/>
    <w:rsid w:val="00084B13"/>
    <w:rsid w:val="00084F6D"/>
    <w:rsid w:val="00086B49"/>
    <w:rsid w:val="00086EDE"/>
    <w:rsid w:val="00090424"/>
    <w:rsid w:val="00090874"/>
    <w:rsid w:val="00090888"/>
    <w:rsid w:val="00090B6D"/>
    <w:rsid w:val="00091CBC"/>
    <w:rsid w:val="00092C05"/>
    <w:rsid w:val="00094ED9"/>
    <w:rsid w:val="00095598"/>
    <w:rsid w:val="00095B2A"/>
    <w:rsid w:val="00095E08"/>
    <w:rsid w:val="000961C7"/>
    <w:rsid w:val="000962B9"/>
    <w:rsid w:val="00096433"/>
    <w:rsid w:val="0009645E"/>
    <w:rsid w:val="0009647D"/>
    <w:rsid w:val="00097227"/>
    <w:rsid w:val="00097271"/>
    <w:rsid w:val="0009762B"/>
    <w:rsid w:val="00097FCB"/>
    <w:rsid w:val="000A0758"/>
    <w:rsid w:val="000A07B1"/>
    <w:rsid w:val="000A0D5D"/>
    <w:rsid w:val="000A0DF0"/>
    <w:rsid w:val="000A1DC8"/>
    <w:rsid w:val="000A21B5"/>
    <w:rsid w:val="000A2A46"/>
    <w:rsid w:val="000A33CC"/>
    <w:rsid w:val="000A4967"/>
    <w:rsid w:val="000A5006"/>
    <w:rsid w:val="000A52FC"/>
    <w:rsid w:val="000A535A"/>
    <w:rsid w:val="000A5CE3"/>
    <w:rsid w:val="000A632F"/>
    <w:rsid w:val="000A6EF0"/>
    <w:rsid w:val="000A7452"/>
    <w:rsid w:val="000A7C96"/>
    <w:rsid w:val="000A7DFF"/>
    <w:rsid w:val="000B059E"/>
    <w:rsid w:val="000B0740"/>
    <w:rsid w:val="000B0D18"/>
    <w:rsid w:val="000B1153"/>
    <w:rsid w:val="000B16CB"/>
    <w:rsid w:val="000B1986"/>
    <w:rsid w:val="000B2208"/>
    <w:rsid w:val="000B26EB"/>
    <w:rsid w:val="000B40BF"/>
    <w:rsid w:val="000B414D"/>
    <w:rsid w:val="000B54DF"/>
    <w:rsid w:val="000B5BAA"/>
    <w:rsid w:val="000B5C61"/>
    <w:rsid w:val="000B6B38"/>
    <w:rsid w:val="000B6FC3"/>
    <w:rsid w:val="000B6FD2"/>
    <w:rsid w:val="000B793E"/>
    <w:rsid w:val="000B7F02"/>
    <w:rsid w:val="000C0D5F"/>
    <w:rsid w:val="000C10AC"/>
    <w:rsid w:val="000C22A4"/>
    <w:rsid w:val="000C22F7"/>
    <w:rsid w:val="000C2C22"/>
    <w:rsid w:val="000C2DFF"/>
    <w:rsid w:val="000C3BE8"/>
    <w:rsid w:val="000C4042"/>
    <w:rsid w:val="000C4BA2"/>
    <w:rsid w:val="000C4C5A"/>
    <w:rsid w:val="000C5E55"/>
    <w:rsid w:val="000C6E29"/>
    <w:rsid w:val="000C7112"/>
    <w:rsid w:val="000C72E9"/>
    <w:rsid w:val="000C7BC2"/>
    <w:rsid w:val="000D0E50"/>
    <w:rsid w:val="000D1334"/>
    <w:rsid w:val="000D1925"/>
    <w:rsid w:val="000D19BA"/>
    <w:rsid w:val="000D19D4"/>
    <w:rsid w:val="000D1A10"/>
    <w:rsid w:val="000D2003"/>
    <w:rsid w:val="000D213A"/>
    <w:rsid w:val="000D2324"/>
    <w:rsid w:val="000D2C69"/>
    <w:rsid w:val="000D2D6E"/>
    <w:rsid w:val="000D46B4"/>
    <w:rsid w:val="000D5A0C"/>
    <w:rsid w:val="000D6185"/>
    <w:rsid w:val="000D6509"/>
    <w:rsid w:val="000D6E0F"/>
    <w:rsid w:val="000D79E4"/>
    <w:rsid w:val="000E006A"/>
    <w:rsid w:val="000E047F"/>
    <w:rsid w:val="000E1F13"/>
    <w:rsid w:val="000E316B"/>
    <w:rsid w:val="000E37A4"/>
    <w:rsid w:val="000E3C18"/>
    <w:rsid w:val="000E4AB1"/>
    <w:rsid w:val="000E5EDE"/>
    <w:rsid w:val="000E65CE"/>
    <w:rsid w:val="000E68F4"/>
    <w:rsid w:val="000E76B8"/>
    <w:rsid w:val="000F10CC"/>
    <w:rsid w:val="000F1E9B"/>
    <w:rsid w:val="000F2580"/>
    <w:rsid w:val="000F3479"/>
    <w:rsid w:val="000F3BD1"/>
    <w:rsid w:val="000F3C66"/>
    <w:rsid w:val="000F417C"/>
    <w:rsid w:val="000F545F"/>
    <w:rsid w:val="000F5E74"/>
    <w:rsid w:val="000F5F0D"/>
    <w:rsid w:val="000F644B"/>
    <w:rsid w:val="000F6F5C"/>
    <w:rsid w:val="000F7070"/>
    <w:rsid w:val="001000AF"/>
    <w:rsid w:val="00100228"/>
    <w:rsid w:val="001012BF"/>
    <w:rsid w:val="001018DF"/>
    <w:rsid w:val="001025EF"/>
    <w:rsid w:val="00103230"/>
    <w:rsid w:val="0010352A"/>
    <w:rsid w:val="0010385B"/>
    <w:rsid w:val="00104583"/>
    <w:rsid w:val="001052F6"/>
    <w:rsid w:val="001065A1"/>
    <w:rsid w:val="00107C5C"/>
    <w:rsid w:val="00110289"/>
    <w:rsid w:val="00110F86"/>
    <w:rsid w:val="0011185C"/>
    <w:rsid w:val="00111B7B"/>
    <w:rsid w:val="001129D8"/>
    <w:rsid w:val="00112FAF"/>
    <w:rsid w:val="00115A5B"/>
    <w:rsid w:val="00115B5B"/>
    <w:rsid w:val="00116C5E"/>
    <w:rsid w:val="0011729D"/>
    <w:rsid w:val="00120C1C"/>
    <w:rsid w:val="0012134A"/>
    <w:rsid w:val="0012135E"/>
    <w:rsid w:val="00121D90"/>
    <w:rsid w:val="00121DA0"/>
    <w:rsid w:val="00121E8E"/>
    <w:rsid w:val="00122DD5"/>
    <w:rsid w:val="0012387B"/>
    <w:rsid w:val="00123AE3"/>
    <w:rsid w:val="00123E52"/>
    <w:rsid w:val="00124D60"/>
    <w:rsid w:val="0012534E"/>
    <w:rsid w:val="001259D1"/>
    <w:rsid w:val="00125C90"/>
    <w:rsid w:val="00126C81"/>
    <w:rsid w:val="001278CA"/>
    <w:rsid w:val="00127AF9"/>
    <w:rsid w:val="00131454"/>
    <w:rsid w:val="00131654"/>
    <w:rsid w:val="00131964"/>
    <w:rsid w:val="00131ABE"/>
    <w:rsid w:val="00131BC0"/>
    <w:rsid w:val="00132901"/>
    <w:rsid w:val="00133094"/>
    <w:rsid w:val="00133110"/>
    <w:rsid w:val="001357E9"/>
    <w:rsid w:val="001370A9"/>
    <w:rsid w:val="00137E7F"/>
    <w:rsid w:val="0014004C"/>
    <w:rsid w:val="0014093F"/>
    <w:rsid w:val="00141A28"/>
    <w:rsid w:val="00141F10"/>
    <w:rsid w:val="001447B1"/>
    <w:rsid w:val="001447E8"/>
    <w:rsid w:val="00144CFD"/>
    <w:rsid w:val="00144DC3"/>
    <w:rsid w:val="001453D3"/>
    <w:rsid w:val="0014654F"/>
    <w:rsid w:val="001477E9"/>
    <w:rsid w:val="00147993"/>
    <w:rsid w:val="001479D5"/>
    <w:rsid w:val="00147D2E"/>
    <w:rsid w:val="001510E2"/>
    <w:rsid w:val="001510FC"/>
    <w:rsid w:val="001515B9"/>
    <w:rsid w:val="00151ECD"/>
    <w:rsid w:val="001530BF"/>
    <w:rsid w:val="00153123"/>
    <w:rsid w:val="00153647"/>
    <w:rsid w:val="00153B75"/>
    <w:rsid w:val="00154389"/>
    <w:rsid w:val="00154591"/>
    <w:rsid w:val="00154C03"/>
    <w:rsid w:val="00154DA1"/>
    <w:rsid w:val="00155E91"/>
    <w:rsid w:val="0015608A"/>
    <w:rsid w:val="001570E7"/>
    <w:rsid w:val="00157508"/>
    <w:rsid w:val="00157D63"/>
    <w:rsid w:val="001600D1"/>
    <w:rsid w:val="00161B16"/>
    <w:rsid w:val="0016254A"/>
    <w:rsid w:val="00162C38"/>
    <w:rsid w:val="0016341C"/>
    <w:rsid w:val="001635CB"/>
    <w:rsid w:val="00163DFE"/>
    <w:rsid w:val="001646B2"/>
    <w:rsid w:val="00164B0D"/>
    <w:rsid w:val="00165CD0"/>
    <w:rsid w:val="00165F78"/>
    <w:rsid w:val="00166700"/>
    <w:rsid w:val="0016716F"/>
    <w:rsid w:val="00167F41"/>
    <w:rsid w:val="00170221"/>
    <w:rsid w:val="00170EF8"/>
    <w:rsid w:val="001723A0"/>
    <w:rsid w:val="00172C93"/>
    <w:rsid w:val="0017382F"/>
    <w:rsid w:val="00173830"/>
    <w:rsid w:val="00174129"/>
    <w:rsid w:val="001745F2"/>
    <w:rsid w:val="001750D9"/>
    <w:rsid w:val="0017581A"/>
    <w:rsid w:val="00175EFD"/>
    <w:rsid w:val="00176060"/>
    <w:rsid w:val="00176781"/>
    <w:rsid w:val="0017682B"/>
    <w:rsid w:val="001770C0"/>
    <w:rsid w:val="0017723D"/>
    <w:rsid w:val="00177D70"/>
    <w:rsid w:val="001803F7"/>
    <w:rsid w:val="00180CF2"/>
    <w:rsid w:val="00181328"/>
    <w:rsid w:val="0018247D"/>
    <w:rsid w:val="0018294F"/>
    <w:rsid w:val="001838B7"/>
    <w:rsid w:val="001839EE"/>
    <w:rsid w:val="00184A3B"/>
    <w:rsid w:val="00184CE6"/>
    <w:rsid w:val="001850F2"/>
    <w:rsid w:val="0018759F"/>
    <w:rsid w:val="001900AC"/>
    <w:rsid w:val="001900B5"/>
    <w:rsid w:val="00190561"/>
    <w:rsid w:val="001927F3"/>
    <w:rsid w:val="00192931"/>
    <w:rsid w:val="00192AD1"/>
    <w:rsid w:val="001931FE"/>
    <w:rsid w:val="001932EC"/>
    <w:rsid w:val="00194865"/>
    <w:rsid w:val="001952CC"/>
    <w:rsid w:val="00195E86"/>
    <w:rsid w:val="001967B4"/>
    <w:rsid w:val="00196C37"/>
    <w:rsid w:val="001A18D0"/>
    <w:rsid w:val="001A2944"/>
    <w:rsid w:val="001A2C31"/>
    <w:rsid w:val="001A31CB"/>
    <w:rsid w:val="001A35CC"/>
    <w:rsid w:val="001A57C5"/>
    <w:rsid w:val="001A652A"/>
    <w:rsid w:val="001A67B3"/>
    <w:rsid w:val="001A6E30"/>
    <w:rsid w:val="001B0377"/>
    <w:rsid w:val="001B161C"/>
    <w:rsid w:val="001B2521"/>
    <w:rsid w:val="001B2561"/>
    <w:rsid w:val="001B2DD8"/>
    <w:rsid w:val="001B3270"/>
    <w:rsid w:val="001B5121"/>
    <w:rsid w:val="001B5C2A"/>
    <w:rsid w:val="001B63AD"/>
    <w:rsid w:val="001B6750"/>
    <w:rsid w:val="001B68E4"/>
    <w:rsid w:val="001B6F42"/>
    <w:rsid w:val="001B765D"/>
    <w:rsid w:val="001B7DBD"/>
    <w:rsid w:val="001C022D"/>
    <w:rsid w:val="001C1C8A"/>
    <w:rsid w:val="001C1D2B"/>
    <w:rsid w:val="001C27E3"/>
    <w:rsid w:val="001C33D4"/>
    <w:rsid w:val="001C4249"/>
    <w:rsid w:val="001C579F"/>
    <w:rsid w:val="001C5E87"/>
    <w:rsid w:val="001C60E3"/>
    <w:rsid w:val="001C6ECC"/>
    <w:rsid w:val="001C6F31"/>
    <w:rsid w:val="001C7322"/>
    <w:rsid w:val="001D06D1"/>
    <w:rsid w:val="001D0E21"/>
    <w:rsid w:val="001D11CE"/>
    <w:rsid w:val="001D1754"/>
    <w:rsid w:val="001D294F"/>
    <w:rsid w:val="001D2FDC"/>
    <w:rsid w:val="001D318D"/>
    <w:rsid w:val="001D443B"/>
    <w:rsid w:val="001D4482"/>
    <w:rsid w:val="001D497E"/>
    <w:rsid w:val="001D59D0"/>
    <w:rsid w:val="001D5E71"/>
    <w:rsid w:val="001E0977"/>
    <w:rsid w:val="001E2C55"/>
    <w:rsid w:val="001E3242"/>
    <w:rsid w:val="001E3DCB"/>
    <w:rsid w:val="001E3E98"/>
    <w:rsid w:val="001E3FBF"/>
    <w:rsid w:val="001E43CF"/>
    <w:rsid w:val="001E4729"/>
    <w:rsid w:val="001E4761"/>
    <w:rsid w:val="001E5B88"/>
    <w:rsid w:val="001E64E8"/>
    <w:rsid w:val="001E671E"/>
    <w:rsid w:val="001E70FF"/>
    <w:rsid w:val="001E72E2"/>
    <w:rsid w:val="001F0D29"/>
    <w:rsid w:val="001F1487"/>
    <w:rsid w:val="001F251D"/>
    <w:rsid w:val="001F27AE"/>
    <w:rsid w:val="001F2F0A"/>
    <w:rsid w:val="001F38C6"/>
    <w:rsid w:val="001F3CB8"/>
    <w:rsid w:val="001F40C0"/>
    <w:rsid w:val="001F442B"/>
    <w:rsid w:val="001F47A5"/>
    <w:rsid w:val="001F4944"/>
    <w:rsid w:val="001F4E2A"/>
    <w:rsid w:val="001F4F1E"/>
    <w:rsid w:val="001F5242"/>
    <w:rsid w:val="001F55F1"/>
    <w:rsid w:val="001F5835"/>
    <w:rsid w:val="001F5E38"/>
    <w:rsid w:val="001F745B"/>
    <w:rsid w:val="001F7BE4"/>
    <w:rsid w:val="001F7C96"/>
    <w:rsid w:val="001F7F87"/>
    <w:rsid w:val="0020038F"/>
    <w:rsid w:val="00201287"/>
    <w:rsid w:val="0020149C"/>
    <w:rsid w:val="002021A6"/>
    <w:rsid w:val="002022D9"/>
    <w:rsid w:val="00202CC4"/>
    <w:rsid w:val="00202DE7"/>
    <w:rsid w:val="00204603"/>
    <w:rsid w:val="00204FBE"/>
    <w:rsid w:val="002053C9"/>
    <w:rsid w:val="00205452"/>
    <w:rsid w:val="00206BF0"/>
    <w:rsid w:val="00207755"/>
    <w:rsid w:val="002102C0"/>
    <w:rsid w:val="00210A2C"/>
    <w:rsid w:val="00212008"/>
    <w:rsid w:val="0021399F"/>
    <w:rsid w:val="002145ED"/>
    <w:rsid w:val="00215BC5"/>
    <w:rsid w:val="00217C9E"/>
    <w:rsid w:val="002201BD"/>
    <w:rsid w:val="0022033D"/>
    <w:rsid w:val="00220FAC"/>
    <w:rsid w:val="00222573"/>
    <w:rsid w:val="00222635"/>
    <w:rsid w:val="00222B88"/>
    <w:rsid w:val="00222CCD"/>
    <w:rsid w:val="002238E1"/>
    <w:rsid w:val="002238F8"/>
    <w:rsid w:val="0022414E"/>
    <w:rsid w:val="002246C8"/>
    <w:rsid w:val="00224C2C"/>
    <w:rsid w:val="00224FEC"/>
    <w:rsid w:val="00225370"/>
    <w:rsid w:val="00226217"/>
    <w:rsid w:val="002277FA"/>
    <w:rsid w:val="0022798B"/>
    <w:rsid w:val="00230ABE"/>
    <w:rsid w:val="00230F24"/>
    <w:rsid w:val="002310BA"/>
    <w:rsid w:val="00231137"/>
    <w:rsid w:val="00231365"/>
    <w:rsid w:val="002313FA"/>
    <w:rsid w:val="002317C4"/>
    <w:rsid w:val="0023263C"/>
    <w:rsid w:val="002333C9"/>
    <w:rsid w:val="00234160"/>
    <w:rsid w:val="00235751"/>
    <w:rsid w:val="00236152"/>
    <w:rsid w:val="002371BA"/>
    <w:rsid w:val="00237DCD"/>
    <w:rsid w:val="00240B1D"/>
    <w:rsid w:val="002410AF"/>
    <w:rsid w:val="0024199D"/>
    <w:rsid w:val="0024220E"/>
    <w:rsid w:val="00242CDA"/>
    <w:rsid w:val="0024331C"/>
    <w:rsid w:val="002436CE"/>
    <w:rsid w:val="0024376A"/>
    <w:rsid w:val="00243E84"/>
    <w:rsid w:val="00244136"/>
    <w:rsid w:val="00244FE9"/>
    <w:rsid w:val="0024527F"/>
    <w:rsid w:val="00246A4B"/>
    <w:rsid w:val="00246F7A"/>
    <w:rsid w:val="00247CE4"/>
    <w:rsid w:val="00247FF0"/>
    <w:rsid w:val="002503FF"/>
    <w:rsid w:val="0025043B"/>
    <w:rsid w:val="0025116E"/>
    <w:rsid w:val="00251237"/>
    <w:rsid w:val="00251CE7"/>
    <w:rsid w:val="00252812"/>
    <w:rsid w:val="00252F8E"/>
    <w:rsid w:val="00254E01"/>
    <w:rsid w:val="00255BAF"/>
    <w:rsid w:val="00255ED6"/>
    <w:rsid w:val="00256883"/>
    <w:rsid w:val="002569F1"/>
    <w:rsid w:val="002577C0"/>
    <w:rsid w:val="0026009C"/>
    <w:rsid w:val="00260AD6"/>
    <w:rsid w:val="00260CD4"/>
    <w:rsid w:val="00260D24"/>
    <w:rsid w:val="002614B6"/>
    <w:rsid w:val="00261F5D"/>
    <w:rsid w:val="00262EE6"/>
    <w:rsid w:val="00262FD2"/>
    <w:rsid w:val="00263107"/>
    <w:rsid w:val="00263263"/>
    <w:rsid w:val="00263595"/>
    <w:rsid w:val="002638FB"/>
    <w:rsid w:val="00263F7E"/>
    <w:rsid w:val="002646D3"/>
    <w:rsid w:val="0026568E"/>
    <w:rsid w:val="00265E9E"/>
    <w:rsid w:val="0026772A"/>
    <w:rsid w:val="0026772F"/>
    <w:rsid w:val="00267A94"/>
    <w:rsid w:val="0027282D"/>
    <w:rsid w:val="0027287E"/>
    <w:rsid w:val="0027394C"/>
    <w:rsid w:val="00273B31"/>
    <w:rsid w:val="002742F4"/>
    <w:rsid w:val="0027451B"/>
    <w:rsid w:val="0027458F"/>
    <w:rsid w:val="002749E4"/>
    <w:rsid w:val="00274BB8"/>
    <w:rsid w:val="00275402"/>
    <w:rsid w:val="00275417"/>
    <w:rsid w:val="002767B6"/>
    <w:rsid w:val="00276E3B"/>
    <w:rsid w:val="00276FF7"/>
    <w:rsid w:val="00277000"/>
    <w:rsid w:val="00280357"/>
    <w:rsid w:val="00281621"/>
    <w:rsid w:val="0028294C"/>
    <w:rsid w:val="00282E2A"/>
    <w:rsid w:val="00282E95"/>
    <w:rsid w:val="002842C5"/>
    <w:rsid w:val="00284739"/>
    <w:rsid w:val="0028475A"/>
    <w:rsid w:val="00284FBA"/>
    <w:rsid w:val="00285057"/>
    <w:rsid w:val="00285857"/>
    <w:rsid w:val="00285F00"/>
    <w:rsid w:val="002861C4"/>
    <w:rsid w:val="002870FD"/>
    <w:rsid w:val="00287583"/>
    <w:rsid w:val="00287988"/>
    <w:rsid w:val="002903A4"/>
    <w:rsid w:val="00290680"/>
    <w:rsid w:val="00290EB6"/>
    <w:rsid w:val="002912AE"/>
    <w:rsid w:val="002912C2"/>
    <w:rsid w:val="00291B4E"/>
    <w:rsid w:val="00291B73"/>
    <w:rsid w:val="00291C8B"/>
    <w:rsid w:val="00292A82"/>
    <w:rsid w:val="00292E55"/>
    <w:rsid w:val="00293122"/>
    <w:rsid w:val="0029474F"/>
    <w:rsid w:val="0029559B"/>
    <w:rsid w:val="00296095"/>
    <w:rsid w:val="002961FB"/>
    <w:rsid w:val="0029659C"/>
    <w:rsid w:val="00296BFE"/>
    <w:rsid w:val="00297039"/>
    <w:rsid w:val="002A0683"/>
    <w:rsid w:val="002A1FF1"/>
    <w:rsid w:val="002A2AE9"/>
    <w:rsid w:val="002A2CE4"/>
    <w:rsid w:val="002A3843"/>
    <w:rsid w:val="002A3CC6"/>
    <w:rsid w:val="002A4487"/>
    <w:rsid w:val="002A4965"/>
    <w:rsid w:val="002A4D89"/>
    <w:rsid w:val="002A62DE"/>
    <w:rsid w:val="002A62F7"/>
    <w:rsid w:val="002A6501"/>
    <w:rsid w:val="002A68FC"/>
    <w:rsid w:val="002A6B54"/>
    <w:rsid w:val="002A7E15"/>
    <w:rsid w:val="002B00A4"/>
    <w:rsid w:val="002B04C6"/>
    <w:rsid w:val="002B1A80"/>
    <w:rsid w:val="002B1A89"/>
    <w:rsid w:val="002B2169"/>
    <w:rsid w:val="002B250C"/>
    <w:rsid w:val="002B2A59"/>
    <w:rsid w:val="002B2F25"/>
    <w:rsid w:val="002B301D"/>
    <w:rsid w:val="002B31F4"/>
    <w:rsid w:val="002B34BD"/>
    <w:rsid w:val="002B46CC"/>
    <w:rsid w:val="002B5557"/>
    <w:rsid w:val="002B5965"/>
    <w:rsid w:val="002B6080"/>
    <w:rsid w:val="002BEEF2"/>
    <w:rsid w:val="002C05D9"/>
    <w:rsid w:val="002C0E2A"/>
    <w:rsid w:val="002C2075"/>
    <w:rsid w:val="002C2413"/>
    <w:rsid w:val="002C29D0"/>
    <w:rsid w:val="002C2DD5"/>
    <w:rsid w:val="002C3ECF"/>
    <w:rsid w:val="002C40BA"/>
    <w:rsid w:val="002C42F5"/>
    <w:rsid w:val="002C4421"/>
    <w:rsid w:val="002C4E4B"/>
    <w:rsid w:val="002C4E67"/>
    <w:rsid w:val="002C5F6A"/>
    <w:rsid w:val="002C62CC"/>
    <w:rsid w:val="002C6FC7"/>
    <w:rsid w:val="002C7A58"/>
    <w:rsid w:val="002D0FD3"/>
    <w:rsid w:val="002D1F36"/>
    <w:rsid w:val="002D2500"/>
    <w:rsid w:val="002D29EA"/>
    <w:rsid w:val="002D3300"/>
    <w:rsid w:val="002D3C89"/>
    <w:rsid w:val="002D3F9D"/>
    <w:rsid w:val="002D4FEC"/>
    <w:rsid w:val="002D5154"/>
    <w:rsid w:val="002D69F5"/>
    <w:rsid w:val="002D7D8A"/>
    <w:rsid w:val="002E0059"/>
    <w:rsid w:val="002E1041"/>
    <w:rsid w:val="002E19ED"/>
    <w:rsid w:val="002E2544"/>
    <w:rsid w:val="002E29B9"/>
    <w:rsid w:val="002E48C0"/>
    <w:rsid w:val="002E605D"/>
    <w:rsid w:val="002E6686"/>
    <w:rsid w:val="002E7C0A"/>
    <w:rsid w:val="002F00DE"/>
    <w:rsid w:val="002F0427"/>
    <w:rsid w:val="002F0A65"/>
    <w:rsid w:val="002F0CF9"/>
    <w:rsid w:val="002F0FCD"/>
    <w:rsid w:val="002F1FA7"/>
    <w:rsid w:val="002F3043"/>
    <w:rsid w:val="002F54EE"/>
    <w:rsid w:val="002F6034"/>
    <w:rsid w:val="002F6C19"/>
    <w:rsid w:val="002F72D5"/>
    <w:rsid w:val="00300BA3"/>
    <w:rsid w:val="00300F06"/>
    <w:rsid w:val="00301035"/>
    <w:rsid w:val="00302883"/>
    <w:rsid w:val="00302E05"/>
    <w:rsid w:val="0030331B"/>
    <w:rsid w:val="00303392"/>
    <w:rsid w:val="0030577D"/>
    <w:rsid w:val="00305C57"/>
    <w:rsid w:val="00305D30"/>
    <w:rsid w:val="00305E52"/>
    <w:rsid w:val="00306039"/>
    <w:rsid w:val="00306167"/>
    <w:rsid w:val="00306194"/>
    <w:rsid w:val="00306196"/>
    <w:rsid w:val="00306525"/>
    <w:rsid w:val="00306B3F"/>
    <w:rsid w:val="00306F18"/>
    <w:rsid w:val="00307F8F"/>
    <w:rsid w:val="003103A1"/>
    <w:rsid w:val="00311542"/>
    <w:rsid w:val="00312389"/>
    <w:rsid w:val="00312566"/>
    <w:rsid w:val="00312778"/>
    <w:rsid w:val="0031360C"/>
    <w:rsid w:val="003138CE"/>
    <w:rsid w:val="00314029"/>
    <w:rsid w:val="00314070"/>
    <w:rsid w:val="003156C7"/>
    <w:rsid w:val="00315CAB"/>
    <w:rsid w:val="00316F7D"/>
    <w:rsid w:val="00317389"/>
    <w:rsid w:val="00317AA6"/>
    <w:rsid w:val="00321ED7"/>
    <w:rsid w:val="003226FF"/>
    <w:rsid w:val="00322961"/>
    <w:rsid w:val="00322BD8"/>
    <w:rsid w:val="0032442E"/>
    <w:rsid w:val="00324A7F"/>
    <w:rsid w:val="00324C6E"/>
    <w:rsid w:val="00324C71"/>
    <w:rsid w:val="00324D00"/>
    <w:rsid w:val="00324E8A"/>
    <w:rsid w:val="00325625"/>
    <w:rsid w:val="003257A7"/>
    <w:rsid w:val="0032595B"/>
    <w:rsid w:val="00327843"/>
    <w:rsid w:val="0033062C"/>
    <w:rsid w:val="003307BA"/>
    <w:rsid w:val="00330FA7"/>
    <w:rsid w:val="003310EA"/>
    <w:rsid w:val="00333076"/>
    <w:rsid w:val="003349DD"/>
    <w:rsid w:val="00334A50"/>
    <w:rsid w:val="003351CC"/>
    <w:rsid w:val="0033691D"/>
    <w:rsid w:val="00336A06"/>
    <w:rsid w:val="00337186"/>
    <w:rsid w:val="003408D6"/>
    <w:rsid w:val="003412BE"/>
    <w:rsid w:val="0034132F"/>
    <w:rsid w:val="00342611"/>
    <w:rsid w:val="003434F7"/>
    <w:rsid w:val="00343BAF"/>
    <w:rsid w:val="00343C80"/>
    <w:rsid w:val="00344029"/>
    <w:rsid w:val="00344953"/>
    <w:rsid w:val="00344B57"/>
    <w:rsid w:val="00345612"/>
    <w:rsid w:val="0034610C"/>
    <w:rsid w:val="003461CE"/>
    <w:rsid w:val="00347565"/>
    <w:rsid w:val="0035044A"/>
    <w:rsid w:val="00350492"/>
    <w:rsid w:val="00350EEF"/>
    <w:rsid w:val="00350FF7"/>
    <w:rsid w:val="0035248F"/>
    <w:rsid w:val="00352D33"/>
    <w:rsid w:val="00354C67"/>
    <w:rsid w:val="003550DB"/>
    <w:rsid w:val="00355261"/>
    <w:rsid w:val="0035575B"/>
    <w:rsid w:val="00355984"/>
    <w:rsid w:val="00356A73"/>
    <w:rsid w:val="003575F9"/>
    <w:rsid w:val="0036005F"/>
    <w:rsid w:val="00360241"/>
    <w:rsid w:val="00360769"/>
    <w:rsid w:val="00363780"/>
    <w:rsid w:val="00363A02"/>
    <w:rsid w:val="00364819"/>
    <w:rsid w:val="00365B3A"/>
    <w:rsid w:val="00366154"/>
    <w:rsid w:val="003661A6"/>
    <w:rsid w:val="003664F9"/>
    <w:rsid w:val="00366E68"/>
    <w:rsid w:val="003678F8"/>
    <w:rsid w:val="00367ADF"/>
    <w:rsid w:val="00371949"/>
    <w:rsid w:val="003719F9"/>
    <w:rsid w:val="00373681"/>
    <w:rsid w:val="00373D17"/>
    <w:rsid w:val="003752A3"/>
    <w:rsid w:val="0037542C"/>
    <w:rsid w:val="0037596C"/>
    <w:rsid w:val="00375AA7"/>
    <w:rsid w:val="00376002"/>
    <w:rsid w:val="003765E3"/>
    <w:rsid w:val="00376674"/>
    <w:rsid w:val="00376FF1"/>
    <w:rsid w:val="00384249"/>
    <w:rsid w:val="00384747"/>
    <w:rsid w:val="0038494C"/>
    <w:rsid w:val="0038671E"/>
    <w:rsid w:val="0038731F"/>
    <w:rsid w:val="0038776A"/>
    <w:rsid w:val="003878FD"/>
    <w:rsid w:val="00390292"/>
    <w:rsid w:val="00390366"/>
    <w:rsid w:val="00390718"/>
    <w:rsid w:val="003923DC"/>
    <w:rsid w:val="003942C1"/>
    <w:rsid w:val="00395C60"/>
    <w:rsid w:val="00396790"/>
    <w:rsid w:val="00397D12"/>
    <w:rsid w:val="00397E05"/>
    <w:rsid w:val="003A015C"/>
    <w:rsid w:val="003A1511"/>
    <w:rsid w:val="003A1723"/>
    <w:rsid w:val="003A1882"/>
    <w:rsid w:val="003A1A65"/>
    <w:rsid w:val="003A23C3"/>
    <w:rsid w:val="003A4020"/>
    <w:rsid w:val="003A47D5"/>
    <w:rsid w:val="003A4D84"/>
    <w:rsid w:val="003A4E0C"/>
    <w:rsid w:val="003A5075"/>
    <w:rsid w:val="003A5563"/>
    <w:rsid w:val="003A5B02"/>
    <w:rsid w:val="003A6277"/>
    <w:rsid w:val="003A6579"/>
    <w:rsid w:val="003A6BBB"/>
    <w:rsid w:val="003A6BD4"/>
    <w:rsid w:val="003A6FDE"/>
    <w:rsid w:val="003A77B6"/>
    <w:rsid w:val="003B01A5"/>
    <w:rsid w:val="003B0738"/>
    <w:rsid w:val="003B16A8"/>
    <w:rsid w:val="003B1E0F"/>
    <w:rsid w:val="003B22D7"/>
    <w:rsid w:val="003B2AC9"/>
    <w:rsid w:val="003B3784"/>
    <w:rsid w:val="003B3BD7"/>
    <w:rsid w:val="003B4856"/>
    <w:rsid w:val="003B6118"/>
    <w:rsid w:val="003B6A66"/>
    <w:rsid w:val="003C0378"/>
    <w:rsid w:val="003C056E"/>
    <w:rsid w:val="003C070D"/>
    <w:rsid w:val="003C0AC7"/>
    <w:rsid w:val="003C0F43"/>
    <w:rsid w:val="003C16EA"/>
    <w:rsid w:val="003C22C4"/>
    <w:rsid w:val="003C24C8"/>
    <w:rsid w:val="003C252C"/>
    <w:rsid w:val="003C2CB5"/>
    <w:rsid w:val="003C2E39"/>
    <w:rsid w:val="003C3308"/>
    <w:rsid w:val="003C4A26"/>
    <w:rsid w:val="003C5261"/>
    <w:rsid w:val="003C585D"/>
    <w:rsid w:val="003C5B7E"/>
    <w:rsid w:val="003C5CC5"/>
    <w:rsid w:val="003C6078"/>
    <w:rsid w:val="003C6FA4"/>
    <w:rsid w:val="003D06F1"/>
    <w:rsid w:val="003D1EDE"/>
    <w:rsid w:val="003D31D3"/>
    <w:rsid w:val="003D4245"/>
    <w:rsid w:val="003D4C2A"/>
    <w:rsid w:val="003D4D66"/>
    <w:rsid w:val="003D6108"/>
    <w:rsid w:val="003D701B"/>
    <w:rsid w:val="003D710A"/>
    <w:rsid w:val="003D756A"/>
    <w:rsid w:val="003D7722"/>
    <w:rsid w:val="003E014F"/>
    <w:rsid w:val="003E0ADC"/>
    <w:rsid w:val="003E0C9B"/>
    <w:rsid w:val="003E0DBD"/>
    <w:rsid w:val="003E0EEE"/>
    <w:rsid w:val="003E12FE"/>
    <w:rsid w:val="003E1515"/>
    <w:rsid w:val="003E2896"/>
    <w:rsid w:val="003E3E4B"/>
    <w:rsid w:val="003E447F"/>
    <w:rsid w:val="003E5462"/>
    <w:rsid w:val="003E550C"/>
    <w:rsid w:val="003E5F4A"/>
    <w:rsid w:val="003E69C6"/>
    <w:rsid w:val="003E7548"/>
    <w:rsid w:val="003F07D5"/>
    <w:rsid w:val="003F0E0A"/>
    <w:rsid w:val="003F0FEC"/>
    <w:rsid w:val="003F2287"/>
    <w:rsid w:val="003F28F9"/>
    <w:rsid w:val="003F2A30"/>
    <w:rsid w:val="003F3B86"/>
    <w:rsid w:val="003F3BDD"/>
    <w:rsid w:val="003F4498"/>
    <w:rsid w:val="003F4E58"/>
    <w:rsid w:val="003F4E89"/>
    <w:rsid w:val="003F5A90"/>
    <w:rsid w:val="003F5AE0"/>
    <w:rsid w:val="003F5EF9"/>
    <w:rsid w:val="003F63BF"/>
    <w:rsid w:val="003F673E"/>
    <w:rsid w:val="003F6D0B"/>
    <w:rsid w:val="003F74AF"/>
    <w:rsid w:val="003F7DC2"/>
    <w:rsid w:val="00400C21"/>
    <w:rsid w:val="00400FA6"/>
    <w:rsid w:val="00402702"/>
    <w:rsid w:val="00403493"/>
    <w:rsid w:val="0040359F"/>
    <w:rsid w:val="0040415E"/>
    <w:rsid w:val="0040456D"/>
    <w:rsid w:val="00404666"/>
    <w:rsid w:val="004047A6"/>
    <w:rsid w:val="00405603"/>
    <w:rsid w:val="00405D6B"/>
    <w:rsid w:val="00410D69"/>
    <w:rsid w:val="004110D4"/>
    <w:rsid w:val="00411314"/>
    <w:rsid w:val="004113AE"/>
    <w:rsid w:val="00411A57"/>
    <w:rsid w:val="00411F82"/>
    <w:rsid w:val="00412D95"/>
    <w:rsid w:val="00412FA0"/>
    <w:rsid w:val="004132CD"/>
    <w:rsid w:val="00420217"/>
    <w:rsid w:val="004208C0"/>
    <w:rsid w:val="00420EED"/>
    <w:rsid w:val="0042198C"/>
    <w:rsid w:val="00421F1F"/>
    <w:rsid w:val="00422329"/>
    <w:rsid w:val="00422885"/>
    <w:rsid w:val="00422BF6"/>
    <w:rsid w:val="00423993"/>
    <w:rsid w:val="004241A2"/>
    <w:rsid w:val="00424FAB"/>
    <w:rsid w:val="004256C0"/>
    <w:rsid w:val="00425E2C"/>
    <w:rsid w:val="00426663"/>
    <w:rsid w:val="0042699E"/>
    <w:rsid w:val="004270F1"/>
    <w:rsid w:val="00427283"/>
    <w:rsid w:val="00427975"/>
    <w:rsid w:val="00427A06"/>
    <w:rsid w:val="00427C0D"/>
    <w:rsid w:val="00430B0D"/>
    <w:rsid w:val="00430B51"/>
    <w:rsid w:val="00431CB9"/>
    <w:rsid w:val="0043336D"/>
    <w:rsid w:val="00433F62"/>
    <w:rsid w:val="00434103"/>
    <w:rsid w:val="0043484A"/>
    <w:rsid w:val="00435CCE"/>
    <w:rsid w:val="004362BA"/>
    <w:rsid w:val="00436877"/>
    <w:rsid w:val="00436B8F"/>
    <w:rsid w:val="00436DC3"/>
    <w:rsid w:val="004378E0"/>
    <w:rsid w:val="00437F40"/>
    <w:rsid w:val="0044005E"/>
    <w:rsid w:val="004407EE"/>
    <w:rsid w:val="00441487"/>
    <w:rsid w:val="00441493"/>
    <w:rsid w:val="004416D9"/>
    <w:rsid w:val="00441CA9"/>
    <w:rsid w:val="00441CF6"/>
    <w:rsid w:val="004425DA"/>
    <w:rsid w:val="00442D31"/>
    <w:rsid w:val="00443652"/>
    <w:rsid w:val="00443687"/>
    <w:rsid w:val="00443CBE"/>
    <w:rsid w:val="00444922"/>
    <w:rsid w:val="00444968"/>
    <w:rsid w:val="00444CA8"/>
    <w:rsid w:val="0044602B"/>
    <w:rsid w:val="00446364"/>
    <w:rsid w:val="004463DA"/>
    <w:rsid w:val="00446541"/>
    <w:rsid w:val="00450290"/>
    <w:rsid w:val="00450F14"/>
    <w:rsid w:val="0045104B"/>
    <w:rsid w:val="004510E6"/>
    <w:rsid w:val="00453313"/>
    <w:rsid w:val="0045374E"/>
    <w:rsid w:val="00453767"/>
    <w:rsid w:val="00454EAC"/>
    <w:rsid w:val="004554FB"/>
    <w:rsid w:val="00455862"/>
    <w:rsid w:val="00455FAA"/>
    <w:rsid w:val="00456475"/>
    <w:rsid w:val="00456876"/>
    <w:rsid w:val="004571DD"/>
    <w:rsid w:val="00460E37"/>
    <w:rsid w:val="00461D2C"/>
    <w:rsid w:val="004621B8"/>
    <w:rsid w:val="0046289E"/>
    <w:rsid w:val="00464C23"/>
    <w:rsid w:val="00465748"/>
    <w:rsid w:val="00465A39"/>
    <w:rsid w:val="00466648"/>
    <w:rsid w:val="00466BB7"/>
    <w:rsid w:val="00467D53"/>
    <w:rsid w:val="00470F8E"/>
    <w:rsid w:val="004717FA"/>
    <w:rsid w:val="00471C70"/>
    <w:rsid w:val="00471DFD"/>
    <w:rsid w:val="004720AD"/>
    <w:rsid w:val="00473CD6"/>
    <w:rsid w:val="00473F66"/>
    <w:rsid w:val="0047422A"/>
    <w:rsid w:val="0047777E"/>
    <w:rsid w:val="00477B0E"/>
    <w:rsid w:val="00477BCF"/>
    <w:rsid w:val="00481AB1"/>
    <w:rsid w:val="004820E1"/>
    <w:rsid w:val="004823F3"/>
    <w:rsid w:val="00482C52"/>
    <w:rsid w:val="00482F5A"/>
    <w:rsid w:val="00483841"/>
    <w:rsid w:val="00483C82"/>
    <w:rsid w:val="00484DEE"/>
    <w:rsid w:val="00486E0E"/>
    <w:rsid w:val="00490959"/>
    <w:rsid w:val="00490CB2"/>
    <w:rsid w:val="004910A7"/>
    <w:rsid w:val="00492DAA"/>
    <w:rsid w:val="004931DE"/>
    <w:rsid w:val="00493503"/>
    <w:rsid w:val="0049568C"/>
    <w:rsid w:val="00495773"/>
    <w:rsid w:val="00495AE1"/>
    <w:rsid w:val="00495F45"/>
    <w:rsid w:val="004968A7"/>
    <w:rsid w:val="00497B55"/>
    <w:rsid w:val="00497D05"/>
    <w:rsid w:val="004A0B4A"/>
    <w:rsid w:val="004A23CA"/>
    <w:rsid w:val="004A2B58"/>
    <w:rsid w:val="004A323B"/>
    <w:rsid w:val="004A386F"/>
    <w:rsid w:val="004A3B3C"/>
    <w:rsid w:val="004A466A"/>
    <w:rsid w:val="004A4BC4"/>
    <w:rsid w:val="004A664D"/>
    <w:rsid w:val="004A67D6"/>
    <w:rsid w:val="004A7966"/>
    <w:rsid w:val="004A7B87"/>
    <w:rsid w:val="004A7FB0"/>
    <w:rsid w:val="004B00DB"/>
    <w:rsid w:val="004B182C"/>
    <w:rsid w:val="004B29CE"/>
    <w:rsid w:val="004B2FDD"/>
    <w:rsid w:val="004B3CA2"/>
    <w:rsid w:val="004B4695"/>
    <w:rsid w:val="004B4FF8"/>
    <w:rsid w:val="004B5CA6"/>
    <w:rsid w:val="004B5F4F"/>
    <w:rsid w:val="004B7028"/>
    <w:rsid w:val="004B7AFA"/>
    <w:rsid w:val="004C1849"/>
    <w:rsid w:val="004C30EF"/>
    <w:rsid w:val="004C4DA0"/>
    <w:rsid w:val="004C6ABF"/>
    <w:rsid w:val="004C717D"/>
    <w:rsid w:val="004C7572"/>
    <w:rsid w:val="004C7C23"/>
    <w:rsid w:val="004D0ACE"/>
    <w:rsid w:val="004D1106"/>
    <w:rsid w:val="004D1486"/>
    <w:rsid w:val="004D1556"/>
    <w:rsid w:val="004D1960"/>
    <w:rsid w:val="004D28EE"/>
    <w:rsid w:val="004D3578"/>
    <w:rsid w:val="004D49DB"/>
    <w:rsid w:val="004D4D47"/>
    <w:rsid w:val="004D527D"/>
    <w:rsid w:val="004D5444"/>
    <w:rsid w:val="004D5605"/>
    <w:rsid w:val="004D5630"/>
    <w:rsid w:val="004D5854"/>
    <w:rsid w:val="004D6B62"/>
    <w:rsid w:val="004D6CA2"/>
    <w:rsid w:val="004D7A24"/>
    <w:rsid w:val="004E043E"/>
    <w:rsid w:val="004E06DB"/>
    <w:rsid w:val="004E0766"/>
    <w:rsid w:val="004E0F78"/>
    <w:rsid w:val="004E1732"/>
    <w:rsid w:val="004E218A"/>
    <w:rsid w:val="004E3E95"/>
    <w:rsid w:val="004E4AFF"/>
    <w:rsid w:val="004E4F9D"/>
    <w:rsid w:val="004E55C8"/>
    <w:rsid w:val="004E5739"/>
    <w:rsid w:val="004E5BEB"/>
    <w:rsid w:val="004E5DEA"/>
    <w:rsid w:val="004E601A"/>
    <w:rsid w:val="004E69FD"/>
    <w:rsid w:val="004E6A0D"/>
    <w:rsid w:val="004E6C41"/>
    <w:rsid w:val="004E6EA3"/>
    <w:rsid w:val="004E6EFF"/>
    <w:rsid w:val="004E6F96"/>
    <w:rsid w:val="004E79E4"/>
    <w:rsid w:val="004F1C5C"/>
    <w:rsid w:val="004F1E9D"/>
    <w:rsid w:val="004F256F"/>
    <w:rsid w:val="004F2705"/>
    <w:rsid w:val="004F3204"/>
    <w:rsid w:val="004F41ED"/>
    <w:rsid w:val="004F421F"/>
    <w:rsid w:val="004F4F7D"/>
    <w:rsid w:val="004F554D"/>
    <w:rsid w:val="004F5CBE"/>
    <w:rsid w:val="004F6051"/>
    <w:rsid w:val="004F6A3D"/>
    <w:rsid w:val="004F6FB5"/>
    <w:rsid w:val="004F78BA"/>
    <w:rsid w:val="004F7D6A"/>
    <w:rsid w:val="00500085"/>
    <w:rsid w:val="0050053F"/>
    <w:rsid w:val="00501408"/>
    <w:rsid w:val="00501428"/>
    <w:rsid w:val="00502CE8"/>
    <w:rsid w:val="00502F79"/>
    <w:rsid w:val="00503273"/>
    <w:rsid w:val="0050369F"/>
    <w:rsid w:val="00503F0C"/>
    <w:rsid w:val="005049A7"/>
    <w:rsid w:val="00505260"/>
    <w:rsid w:val="0050655D"/>
    <w:rsid w:val="00506EAF"/>
    <w:rsid w:val="00506FA3"/>
    <w:rsid w:val="005072AC"/>
    <w:rsid w:val="005072B9"/>
    <w:rsid w:val="00507D41"/>
    <w:rsid w:val="00507F6E"/>
    <w:rsid w:val="00512310"/>
    <w:rsid w:val="00512C37"/>
    <w:rsid w:val="00512C9A"/>
    <w:rsid w:val="00512F0C"/>
    <w:rsid w:val="0051331A"/>
    <w:rsid w:val="00513C3B"/>
    <w:rsid w:val="00513ECC"/>
    <w:rsid w:val="00514874"/>
    <w:rsid w:val="00514E46"/>
    <w:rsid w:val="00515A44"/>
    <w:rsid w:val="005165FC"/>
    <w:rsid w:val="005168CD"/>
    <w:rsid w:val="00517E3C"/>
    <w:rsid w:val="00520E6F"/>
    <w:rsid w:val="00521746"/>
    <w:rsid w:val="005229C4"/>
    <w:rsid w:val="00522E57"/>
    <w:rsid w:val="0052308E"/>
    <w:rsid w:val="00524607"/>
    <w:rsid w:val="00524865"/>
    <w:rsid w:val="00525152"/>
    <w:rsid w:val="005260B0"/>
    <w:rsid w:val="005271FA"/>
    <w:rsid w:val="0052766B"/>
    <w:rsid w:val="0053055E"/>
    <w:rsid w:val="005309A4"/>
    <w:rsid w:val="0053232E"/>
    <w:rsid w:val="0053337E"/>
    <w:rsid w:val="005342A4"/>
    <w:rsid w:val="005342DE"/>
    <w:rsid w:val="005347D5"/>
    <w:rsid w:val="005354F2"/>
    <w:rsid w:val="00535EA1"/>
    <w:rsid w:val="00536884"/>
    <w:rsid w:val="00536E3D"/>
    <w:rsid w:val="00537A6B"/>
    <w:rsid w:val="00537B79"/>
    <w:rsid w:val="005408C7"/>
    <w:rsid w:val="00540A23"/>
    <w:rsid w:val="005417B3"/>
    <w:rsid w:val="00541896"/>
    <w:rsid w:val="00541B35"/>
    <w:rsid w:val="00541D26"/>
    <w:rsid w:val="005420ED"/>
    <w:rsid w:val="005424B3"/>
    <w:rsid w:val="0054283D"/>
    <w:rsid w:val="00542899"/>
    <w:rsid w:val="00543101"/>
    <w:rsid w:val="005431AA"/>
    <w:rsid w:val="00544173"/>
    <w:rsid w:val="00544CB3"/>
    <w:rsid w:val="00545DBC"/>
    <w:rsid w:val="00547205"/>
    <w:rsid w:val="005476F6"/>
    <w:rsid w:val="0054796B"/>
    <w:rsid w:val="00547F60"/>
    <w:rsid w:val="00547F68"/>
    <w:rsid w:val="00550433"/>
    <w:rsid w:val="00550A97"/>
    <w:rsid w:val="00550B98"/>
    <w:rsid w:val="00550D31"/>
    <w:rsid w:val="00551C4C"/>
    <w:rsid w:val="00552BD7"/>
    <w:rsid w:val="00552E4E"/>
    <w:rsid w:val="005549FE"/>
    <w:rsid w:val="00554BB5"/>
    <w:rsid w:val="005554DD"/>
    <w:rsid w:val="00556B07"/>
    <w:rsid w:val="00556B69"/>
    <w:rsid w:val="00560A15"/>
    <w:rsid w:val="00560EFF"/>
    <w:rsid w:val="005614CC"/>
    <w:rsid w:val="00561634"/>
    <w:rsid w:val="005622A4"/>
    <w:rsid w:val="00562344"/>
    <w:rsid w:val="0056297E"/>
    <w:rsid w:val="005639AF"/>
    <w:rsid w:val="005645EE"/>
    <w:rsid w:val="0056497A"/>
    <w:rsid w:val="00565134"/>
    <w:rsid w:val="005651E1"/>
    <w:rsid w:val="00565502"/>
    <w:rsid w:val="0056575B"/>
    <w:rsid w:val="00565AEB"/>
    <w:rsid w:val="00565FCD"/>
    <w:rsid w:val="00566BCE"/>
    <w:rsid w:val="0057014E"/>
    <w:rsid w:val="00570684"/>
    <w:rsid w:val="00571016"/>
    <w:rsid w:val="0057151E"/>
    <w:rsid w:val="00571A19"/>
    <w:rsid w:val="00571D10"/>
    <w:rsid w:val="00571E34"/>
    <w:rsid w:val="00572878"/>
    <w:rsid w:val="00572E9B"/>
    <w:rsid w:val="00573BD4"/>
    <w:rsid w:val="00573DAF"/>
    <w:rsid w:val="005742AB"/>
    <w:rsid w:val="0057582A"/>
    <w:rsid w:val="0057598A"/>
    <w:rsid w:val="005760E7"/>
    <w:rsid w:val="0057678E"/>
    <w:rsid w:val="0057693E"/>
    <w:rsid w:val="005770D2"/>
    <w:rsid w:val="005776DC"/>
    <w:rsid w:val="00577AE7"/>
    <w:rsid w:val="0058107E"/>
    <w:rsid w:val="00581945"/>
    <w:rsid w:val="00581BC4"/>
    <w:rsid w:val="0058233F"/>
    <w:rsid w:val="00582502"/>
    <w:rsid w:val="00582816"/>
    <w:rsid w:val="005829C1"/>
    <w:rsid w:val="00582AE4"/>
    <w:rsid w:val="00582C82"/>
    <w:rsid w:val="00585AEE"/>
    <w:rsid w:val="00585E51"/>
    <w:rsid w:val="005864BD"/>
    <w:rsid w:val="00586FC6"/>
    <w:rsid w:val="0058710E"/>
    <w:rsid w:val="0059041B"/>
    <w:rsid w:val="0059053A"/>
    <w:rsid w:val="005912F6"/>
    <w:rsid w:val="00591303"/>
    <w:rsid w:val="00592BE7"/>
    <w:rsid w:val="005938D8"/>
    <w:rsid w:val="00593E9E"/>
    <w:rsid w:val="005947BA"/>
    <w:rsid w:val="00594D50"/>
    <w:rsid w:val="005A10A3"/>
    <w:rsid w:val="005A342E"/>
    <w:rsid w:val="005A37C2"/>
    <w:rsid w:val="005A40BF"/>
    <w:rsid w:val="005A4326"/>
    <w:rsid w:val="005A5411"/>
    <w:rsid w:val="005A5C3A"/>
    <w:rsid w:val="005A66B9"/>
    <w:rsid w:val="005A6707"/>
    <w:rsid w:val="005A7AC7"/>
    <w:rsid w:val="005A7B14"/>
    <w:rsid w:val="005A7EDF"/>
    <w:rsid w:val="005B0BA9"/>
    <w:rsid w:val="005B0DFA"/>
    <w:rsid w:val="005B2851"/>
    <w:rsid w:val="005B370B"/>
    <w:rsid w:val="005B572D"/>
    <w:rsid w:val="005B58E3"/>
    <w:rsid w:val="005B5B6B"/>
    <w:rsid w:val="005B5E1F"/>
    <w:rsid w:val="005B6B9C"/>
    <w:rsid w:val="005B785A"/>
    <w:rsid w:val="005C04D4"/>
    <w:rsid w:val="005C0BBF"/>
    <w:rsid w:val="005C15CC"/>
    <w:rsid w:val="005C15F6"/>
    <w:rsid w:val="005C1D63"/>
    <w:rsid w:val="005C2772"/>
    <w:rsid w:val="005C2E02"/>
    <w:rsid w:val="005C456B"/>
    <w:rsid w:val="005C47A7"/>
    <w:rsid w:val="005C666D"/>
    <w:rsid w:val="005C6BF8"/>
    <w:rsid w:val="005C7121"/>
    <w:rsid w:val="005C784A"/>
    <w:rsid w:val="005C7C1C"/>
    <w:rsid w:val="005D111D"/>
    <w:rsid w:val="005D25B1"/>
    <w:rsid w:val="005D2BFF"/>
    <w:rsid w:val="005D42A0"/>
    <w:rsid w:val="005D4318"/>
    <w:rsid w:val="005D4607"/>
    <w:rsid w:val="005D490D"/>
    <w:rsid w:val="005D5B4C"/>
    <w:rsid w:val="005D69C8"/>
    <w:rsid w:val="005D6AD2"/>
    <w:rsid w:val="005D7692"/>
    <w:rsid w:val="005E1048"/>
    <w:rsid w:val="005E17E0"/>
    <w:rsid w:val="005E1A7B"/>
    <w:rsid w:val="005E1E76"/>
    <w:rsid w:val="005E1F10"/>
    <w:rsid w:val="005E22EB"/>
    <w:rsid w:val="005E2910"/>
    <w:rsid w:val="005E34D7"/>
    <w:rsid w:val="005E3DE2"/>
    <w:rsid w:val="005E463C"/>
    <w:rsid w:val="005E4BC0"/>
    <w:rsid w:val="005E4D3E"/>
    <w:rsid w:val="005E567E"/>
    <w:rsid w:val="005E68B7"/>
    <w:rsid w:val="005E7D21"/>
    <w:rsid w:val="005F023F"/>
    <w:rsid w:val="005F0510"/>
    <w:rsid w:val="005F0569"/>
    <w:rsid w:val="005F08C6"/>
    <w:rsid w:val="005F0E08"/>
    <w:rsid w:val="005F169E"/>
    <w:rsid w:val="005F1A8C"/>
    <w:rsid w:val="005F21A1"/>
    <w:rsid w:val="005F37F1"/>
    <w:rsid w:val="005F3979"/>
    <w:rsid w:val="005F3F43"/>
    <w:rsid w:val="005F40F8"/>
    <w:rsid w:val="005F648F"/>
    <w:rsid w:val="005F667F"/>
    <w:rsid w:val="005F6C7E"/>
    <w:rsid w:val="005F72C2"/>
    <w:rsid w:val="005F75A8"/>
    <w:rsid w:val="005F7922"/>
    <w:rsid w:val="005F7D8C"/>
    <w:rsid w:val="005F7FC6"/>
    <w:rsid w:val="00601131"/>
    <w:rsid w:val="0060166F"/>
    <w:rsid w:val="00601863"/>
    <w:rsid w:val="006018DA"/>
    <w:rsid w:val="00603BB3"/>
    <w:rsid w:val="00603C7A"/>
    <w:rsid w:val="00605605"/>
    <w:rsid w:val="0060588A"/>
    <w:rsid w:val="00610B7B"/>
    <w:rsid w:val="00610E73"/>
    <w:rsid w:val="00611FEB"/>
    <w:rsid w:val="00612003"/>
    <w:rsid w:val="00612B57"/>
    <w:rsid w:val="00612BA9"/>
    <w:rsid w:val="00613E8E"/>
    <w:rsid w:val="0061418B"/>
    <w:rsid w:val="006144DC"/>
    <w:rsid w:val="00614FF7"/>
    <w:rsid w:val="00615362"/>
    <w:rsid w:val="006159F5"/>
    <w:rsid w:val="00615F37"/>
    <w:rsid w:val="0061655D"/>
    <w:rsid w:val="00616B11"/>
    <w:rsid w:val="00617396"/>
    <w:rsid w:val="006179FC"/>
    <w:rsid w:val="00617DB3"/>
    <w:rsid w:val="00620541"/>
    <w:rsid w:val="00621426"/>
    <w:rsid w:val="0062205B"/>
    <w:rsid w:val="0062249B"/>
    <w:rsid w:val="0062295B"/>
    <w:rsid w:val="006232C8"/>
    <w:rsid w:val="00623D31"/>
    <w:rsid w:val="00625D20"/>
    <w:rsid w:val="0062622D"/>
    <w:rsid w:val="00626309"/>
    <w:rsid w:val="006265A4"/>
    <w:rsid w:val="00627022"/>
    <w:rsid w:val="006276A0"/>
    <w:rsid w:val="00631C36"/>
    <w:rsid w:val="006323C6"/>
    <w:rsid w:val="0063276F"/>
    <w:rsid w:val="00633AEE"/>
    <w:rsid w:val="006350B0"/>
    <w:rsid w:val="00635B57"/>
    <w:rsid w:val="00635D60"/>
    <w:rsid w:val="00635E8C"/>
    <w:rsid w:val="006365DD"/>
    <w:rsid w:val="00636D6A"/>
    <w:rsid w:val="00637230"/>
    <w:rsid w:val="00640993"/>
    <w:rsid w:val="00640F3B"/>
    <w:rsid w:val="00641000"/>
    <w:rsid w:val="0064226C"/>
    <w:rsid w:val="006430CA"/>
    <w:rsid w:val="006432DC"/>
    <w:rsid w:val="00643CE6"/>
    <w:rsid w:val="006444B8"/>
    <w:rsid w:val="00644B69"/>
    <w:rsid w:val="006450C7"/>
    <w:rsid w:val="0064516C"/>
    <w:rsid w:val="00645741"/>
    <w:rsid w:val="0064585B"/>
    <w:rsid w:val="00650943"/>
    <w:rsid w:val="00650BF2"/>
    <w:rsid w:val="006512DC"/>
    <w:rsid w:val="00651C51"/>
    <w:rsid w:val="00651E3C"/>
    <w:rsid w:val="00651F79"/>
    <w:rsid w:val="00652139"/>
    <w:rsid w:val="00653D6A"/>
    <w:rsid w:val="0065425B"/>
    <w:rsid w:val="0065436F"/>
    <w:rsid w:val="0065604A"/>
    <w:rsid w:val="00656424"/>
    <w:rsid w:val="0065679B"/>
    <w:rsid w:val="0065683C"/>
    <w:rsid w:val="00656E59"/>
    <w:rsid w:val="0065702E"/>
    <w:rsid w:val="00657733"/>
    <w:rsid w:val="00657CF0"/>
    <w:rsid w:val="00660786"/>
    <w:rsid w:val="00660D63"/>
    <w:rsid w:val="006617AB"/>
    <w:rsid w:val="00661CC9"/>
    <w:rsid w:val="00662449"/>
    <w:rsid w:val="006639C8"/>
    <w:rsid w:val="00663B7E"/>
    <w:rsid w:val="00664414"/>
    <w:rsid w:val="00664474"/>
    <w:rsid w:val="006655C1"/>
    <w:rsid w:val="006655D5"/>
    <w:rsid w:val="00666F44"/>
    <w:rsid w:val="006677C1"/>
    <w:rsid w:val="00667CFB"/>
    <w:rsid w:val="006727E5"/>
    <w:rsid w:val="00672F42"/>
    <w:rsid w:val="00675732"/>
    <w:rsid w:val="00675924"/>
    <w:rsid w:val="00676228"/>
    <w:rsid w:val="006808C8"/>
    <w:rsid w:val="00682329"/>
    <w:rsid w:val="006824E4"/>
    <w:rsid w:val="00683AB5"/>
    <w:rsid w:val="00684691"/>
    <w:rsid w:val="006859F1"/>
    <w:rsid w:val="00686058"/>
    <w:rsid w:val="006861ED"/>
    <w:rsid w:val="006866AB"/>
    <w:rsid w:val="0068671E"/>
    <w:rsid w:val="00686AF7"/>
    <w:rsid w:val="00686BC4"/>
    <w:rsid w:val="00686C90"/>
    <w:rsid w:val="006874A2"/>
    <w:rsid w:val="00687848"/>
    <w:rsid w:val="00690149"/>
    <w:rsid w:val="006906DA"/>
    <w:rsid w:val="00690844"/>
    <w:rsid w:val="00691B4E"/>
    <w:rsid w:val="00692929"/>
    <w:rsid w:val="0069327F"/>
    <w:rsid w:val="006936BC"/>
    <w:rsid w:val="00694F5A"/>
    <w:rsid w:val="006951A8"/>
    <w:rsid w:val="0069612B"/>
    <w:rsid w:val="0069655B"/>
    <w:rsid w:val="0069666E"/>
    <w:rsid w:val="00696F8A"/>
    <w:rsid w:val="00697B54"/>
    <w:rsid w:val="00697C9C"/>
    <w:rsid w:val="00697D4A"/>
    <w:rsid w:val="00697DAA"/>
    <w:rsid w:val="006A05C0"/>
    <w:rsid w:val="006A09ED"/>
    <w:rsid w:val="006A0E6C"/>
    <w:rsid w:val="006A105B"/>
    <w:rsid w:val="006A2B9A"/>
    <w:rsid w:val="006A351F"/>
    <w:rsid w:val="006A37C1"/>
    <w:rsid w:val="006A4441"/>
    <w:rsid w:val="006A4E08"/>
    <w:rsid w:val="006A5076"/>
    <w:rsid w:val="006A604A"/>
    <w:rsid w:val="006A6E99"/>
    <w:rsid w:val="006A7597"/>
    <w:rsid w:val="006A7D91"/>
    <w:rsid w:val="006B0836"/>
    <w:rsid w:val="006B0AEF"/>
    <w:rsid w:val="006B285B"/>
    <w:rsid w:val="006B318D"/>
    <w:rsid w:val="006B3A3E"/>
    <w:rsid w:val="006B3D98"/>
    <w:rsid w:val="006B3F66"/>
    <w:rsid w:val="006B53CF"/>
    <w:rsid w:val="006B6121"/>
    <w:rsid w:val="006B7E3F"/>
    <w:rsid w:val="006C0476"/>
    <w:rsid w:val="006C077F"/>
    <w:rsid w:val="006C0E69"/>
    <w:rsid w:val="006C1052"/>
    <w:rsid w:val="006C13F9"/>
    <w:rsid w:val="006C1EFE"/>
    <w:rsid w:val="006C25AF"/>
    <w:rsid w:val="006C2785"/>
    <w:rsid w:val="006C34E9"/>
    <w:rsid w:val="006C488D"/>
    <w:rsid w:val="006C4996"/>
    <w:rsid w:val="006C4F85"/>
    <w:rsid w:val="006C592B"/>
    <w:rsid w:val="006C7539"/>
    <w:rsid w:val="006C7C8A"/>
    <w:rsid w:val="006D0776"/>
    <w:rsid w:val="006D1AD6"/>
    <w:rsid w:val="006D287A"/>
    <w:rsid w:val="006D2FEC"/>
    <w:rsid w:val="006D4714"/>
    <w:rsid w:val="006D4B53"/>
    <w:rsid w:val="006D565F"/>
    <w:rsid w:val="006D7F90"/>
    <w:rsid w:val="006E01AB"/>
    <w:rsid w:val="006E01AD"/>
    <w:rsid w:val="006E1237"/>
    <w:rsid w:val="006E290F"/>
    <w:rsid w:val="006E46A6"/>
    <w:rsid w:val="006E47D4"/>
    <w:rsid w:val="006E4D0B"/>
    <w:rsid w:val="006E5530"/>
    <w:rsid w:val="006E5C50"/>
    <w:rsid w:val="006E5D8E"/>
    <w:rsid w:val="006E693B"/>
    <w:rsid w:val="006E6F5F"/>
    <w:rsid w:val="006E77A7"/>
    <w:rsid w:val="006F06F7"/>
    <w:rsid w:val="006F09A1"/>
    <w:rsid w:val="006F1668"/>
    <w:rsid w:val="006F3615"/>
    <w:rsid w:val="006F3B7B"/>
    <w:rsid w:val="006F527D"/>
    <w:rsid w:val="006F6163"/>
    <w:rsid w:val="006F646C"/>
    <w:rsid w:val="006F6EE1"/>
    <w:rsid w:val="006F7D41"/>
    <w:rsid w:val="00700175"/>
    <w:rsid w:val="00700D31"/>
    <w:rsid w:val="00700DC4"/>
    <w:rsid w:val="00701E04"/>
    <w:rsid w:val="007021F8"/>
    <w:rsid w:val="00702BA0"/>
    <w:rsid w:val="00702E8C"/>
    <w:rsid w:val="007035DE"/>
    <w:rsid w:val="007037E1"/>
    <w:rsid w:val="00703ADF"/>
    <w:rsid w:val="00703DB5"/>
    <w:rsid w:val="007050C6"/>
    <w:rsid w:val="00706271"/>
    <w:rsid w:val="00706429"/>
    <w:rsid w:val="00706483"/>
    <w:rsid w:val="007064B0"/>
    <w:rsid w:val="00707DA1"/>
    <w:rsid w:val="0071016B"/>
    <w:rsid w:val="00710EB7"/>
    <w:rsid w:val="00711CB5"/>
    <w:rsid w:val="0071290A"/>
    <w:rsid w:val="00712999"/>
    <w:rsid w:val="00712C1A"/>
    <w:rsid w:val="0071347D"/>
    <w:rsid w:val="00714566"/>
    <w:rsid w:val="007154F4"/>
    <w:rsid w:val="0071694E"/>
    <w:rsid w:val="00716BEF"/>
    <w:rsid w:val="00717D53"/>
    <w:rsid w:val="007236EB"/>
    <w:rsid w:val="00723F55"/>
    <w:rsid w:val="0072633E"/>
    <w:rsid w:val="00726CB6"/>
    <w:rsid w:val="00726ECA"/>
    <w:rsid w:val="00727827"/>
    <w:rsid w:val="00730882"/>
    <w:rsid w:val="0073192E"/>
    <w:rsid w:val="007337E3"/>
    <w:rsid w:val="00733F95"/>
    <w:rsid w:val="0073401E"/>
    <w:rsid w:val="00734E2D"/>
    <w:rsid w:val="00737652"/>
    <w:rsid w:val="00737D25"/>
    <w:rsid w:val="00737E5E"/>
    <w:rsid w:val="00740DFA"/>
    <w:rsid w:val="00741366"/>
    <w:rsid w:val="0074215B"/>
    <w:rsid w:val="00743239"/>
    <w:rsid w:val="007432A8"/>
    <w:rsid w:val="007446BF"/>
    <w:rsid w:val="00744950"/>
    <w:rsid w:val="0074517F"/>
    <w:rsid w:val="0074606F"/>
    <w:rsid w:val="00746AD4"/>
    <w:rsid w:val="0074771B"/>
    <w:rsid w:val="00747CE0"/>
    <w:rsid w:val="0075039A"/>
    <w:rsid w:val="00750FB7"/>
    <w:rsid w:val="007510D6"/>
    <w:rsid w:val="00751447"/>
    <w:rsid w:val="00751714"/>
    <w:rsid w:val="00751914"/>
    <w:rsid w:val="00751C00"/>
    <w:rsid w:val="00751F0C"/>
    <w:rsid w:val="00753CDE"/>
    <w:rsid w:val="00753DFA"/>
    <w:rsid w:val="00753E8D"/>
    <w:rsid w:val="007550FB"/>
    <w:rsid w:val="0075550D"/>
    <w:rsid w:val="00755513"/>
    <w:rsid w:val="00755938"/>
    <w:rsid w:val="007562CD"/>
    <w:rsid w:val="00756A26"/>
    <w:rsid w:val="00756FA8"/>
    <w:rsid w:val="0076057D"/>
    <w:rsid w:val="00762BC0"/>
    <w:rsid w:val="00763086"/>
    <w:rsid w:val="007661C5"/>
    <w:rsid w:val="00766852"/>
    <w:rsid w:val="0076742B"/>
    <w:rsid w:val="0076743B"/>
    <w:rsid w:val="0076748C"/>
    <w:rsid w:val="00771263"/>
    <w:rsid w:val="00773461"/>
    <w:rsid w:val="00773F72"/>
    <w:rsid w:val="00774C6A"/>
    <w:rsid w:val="00775848"/>
    <w:rsid w:val="007758FF"/>
    <w:rsid w:val="00775911"/>
    <w:rsid w:val="00775F2C"/>
    <w:rsid w:val="00776AD5"/>
    <w:rsid w:val="0077731E"/>
    <w:rsid w:val="007806F7"/>
    <w:rsid w:val="00781FB3"/>
    <w:rsid w:val="007823EB"/>
    <w:rsid w:val="007827F9"/>
    <w:rsid w:val="0078301A"/>
    <w:rsid w:val="007830BC"/>
    <w:rsid w:val="0078356B"/>
    <w:rsid w:val="00783571"/>
    <w:rsid w:val="00783916"/>
    <w:rsid w:val="00783B4A"/>
    <w:rsid w:val="00783D29"/>
    <w:rsid w:val="00784ACB"/>
    <w:rsid w:val="0078547E"/>
    <w:rsid w:val="00785DB0"/>
    <w:rsid w:val="00786A6A"/>
    <w:rsid w:val="007873D1"/>
    <w:rsid w:val="007904D8"/>
    <w:rsid w:val="00790BF6"/>
    <w:rsid w:val="007914E8"/>
    <w:rsid w:val="0079197D"/>
    <w:rsid w:val="0079271E"/>
    <w:rsid w:val="00792735"/>
    <w:rsid w:val="0079279E"/>
    <w:rsid w:val="00792DD5"/>
    <w:rsid w:val="00792ED5"/>
    <w:rsid w:val="00793897"/>
    <w:rsid w:val="00793AD9"/>
    <w:rsid w:val="007942AD"/>
    <w:rsid w:val="00794435"/>
    <w:rsid w:val="0079463A"/>
    <w:rsid w:val="007950C7"/>
    <w:rsid w:val="00795ECB"/>
    <w:rsid w:val="00796C45"/>
    <w:rsid w:val="00797DAC"/>
    <w:rsid w:val="007A06B3"/>
    <w:rsid w:val="007A3453"/>
    <w:rsid w:val="007A3490"/>
    <w:rsid w:val="007A4171"/>
    <w:rsid w:val="007A4785"/>
    <w:rsid w:val="007A4E42"/>
    <w:rsid w:val="007A4E4F"/>
    <w:rsid w:val="007A5AE8"/>
    <w:rsid w:val="007A5E3D"/>
    <w:rsid w:val="007A6B16"/>
    <w:rsid w:val="007A7064"/>
    <w:rsid w:val="007A7EC8"/>
    <w:rsid w:val="007B0060"/>
    <w:rsid w:val="007B296B"/>
    <w:rsid w:val="007B3111"/>
    <w:rsid w:val="007B526B"/>
    <w:rsid w:val="007B578A"/>
    <w:rsid w:val="007B5E20"/>
    <w:rsid w:val="007B63EE"/>
    <w:rsid w:val="007C16DF"/>
    <w:rsid w:val="007C1CC7"/>
    <w:rsid w:val="007C2B1E"/>
    <w:rsid w:val="007C2FA1"/>
    <w:rsid w:val="007C3039"/>
    <w:rsid w:val="007C3503"/>
    <w:rsid w:val="007C352E"/>
    <w:rsid w:val="007C3AE5"/>
    <w:rsid w:val="007C4838"/>
    <w:rsid w:val="007C4B4C"/>
    <w:rsid w:val="007C4C37"/>
    <w:rsid w:val="007C4D81"/>
    <w:rsid w:val="007C61AA"/>
    <w:rsid w:val="007C7A4D"/>
    <w:rsid w:val="007D227A"/>
    <w:rsid w:val="007D2C98"/>
    <w:rsid w:val="007D3AEF"/>
    <w:rsid w:val="007D3E7F"/>
    <w:rsid w:val="007D46EC"/>
    <w:rsid w:val="007D4C5E"/>
    <w:rsid w:val="007D5039"/>
    <w:rsid w:val="007D536A"/>
    <w:rsid w:val="007D5AFF"/>
    <w:rsid w:val="007D64E0"/>
    <w:rsid w:val="007D785F"/>
    <w:rsid w:val="007D789A"/>
    <w:rsid w:val="007E0143"/>
    <w:rsid w:val="007E1E19"/>
    <w:rsid w:val="007E3144"/>
    <w:rsid w:val="007E3165"/>
    <w:rsid w:val="007E3205"/>
    <w:rsid w:val="007E3BF6"/>
    <w:rsid w:val="007E3F36"/>
    <w:rsid w:val="007E5224"/>
    <w:rsid w:val="007E70B8"/>
    <w:rsid w:val="007E7355"/>
    <w:rsid w:val="007E74BD"/>
    <w:rsid w:val="007E79FC"/>
    <w:rsid w:val="007F0243"/>
    <w:rsid w:val="007F0EF2"/>
    <w:rsid w:val="007F10CF"/>
    <w:rsid w:val="007F1C50"/>
    <w:rsid w:val="007F1FF3"/>
    <w:rsid w:val="007F2088"/>
    <w:rsid w:val="007F261E"/>
    <w:rsid w:val="007F3945"/>
    <w:rsid w:val="007F46CF"/>
    <w:rsid w:val="007F4AB9"/>
    <w:rsid w:val="007F6E02"/>
    <w:rsid w:val="007F7536"/>
    <w:rsid w:val="007F7944"/>
    <w:rsid w:val="007F7FA3"/>
    <w:rsid w:val="008002F2"/>
    <w:rsid w:val="008027D3"/>
    <w:rsid w:val="008027F9"/>
    <w:rsid w:val="00802903"/>
    <w:rsid w:val="00802D9E"/>
    <w:rsid w:val="008054EB"/>
    <w:rsid w:val="00805D22"/>
    <w:rsid w:val="008074DB"/>
    <w:rsid w:val="00807E4F"/>
    <w:rsid w:val="00811A83"/>
    <w:rsid w:val="008134F3"/>
    <w:rsid w:val="008153F5"/>
    <w:rsid w:val="00815832"/>
    <w:rsid w:val="008158D5"/>
    <w:rsid w:val="00817C40"/>
    <w:rsid w:val="008220F5"/>
    <w:rsid w:val="008223A6"/>
    <w:rsid w:val="00822B38"/>
    <w:rsid w:val="00823B4D"/>
    <w:rsid w:val="0082422F"/>
    <w:rsid w:val="00824A45"/>
    <w:rsid w:val="008251EE"/>
    <w:rsid w:val="0082521A"/>
    <w:rsid w:val="00825509"/>
    <w:rsid w:val="00825CAE"/>
    <w:rsid w:val="00825DE0"/>
    <w:rsid w:val="00826D4B"/>
    <w:rsid w:val="00826DD2"/>
    <w:rsid w:val="00827034"/>
    <w:rsid w:val="008277B3"/>
    <w:rsid w:val="00827829"/>
    <w:rsid w:val="008278A8"/>
    <w:rsid w:val="0083029F"/>
    <w:rsid w:val="00830331"/>
    <w:rsid w:val="008303A1"/>
    <w:rsid w:val="0083069E"/>
    <w:rsid w:val="008312C6"/>
    <w:rsid w:val="00831E02"/>
    <w:rsid w:val="00833914"/>
    <w:rsid w:val="0084122F"/>
    <w:rsid w:val="0084675F"/>
    <w:rsid w:val="008472C0"/>
    <w:rsid w:val="00847634"/>
    <w:rsid w:val="0085071F"/>
    <w:rsid w:val="00855024"/>
    <w:rsid w:val="008553B2"/>
    <w:rsid w:val="008559D7"/>
    <w:rsid w:val="00855C1C"/>
    <w:rsid w:val="0085664D"/>
    <w:rsid w:val="008568C5"/>
    <w:rsid w:val="00856D63"/>
    <w:rsid w:val="008572AA"/>
    <w:rsid w:val="00857352"/>
    <w:rsid w:val="00857571"/>
    <w:rsid w:val="00860FF1"/>
    <w:rsid w:val="00861720"/>
    <w:rsid w:val="00861FB8"/>
    <w:rsid w:val="008629F7"/>
    <w:rsid w:val="00863149"/>
    <w:rsid w:val="00863AC5"/>
    <w:rsid w:val="00864217"/>
    <w:rsid w:val="00864D76"/>
    <w:rsid w:val="00865038"/>
    <w:rsid w:val="008651AD"/>
    <w:rsid w:val="0086538F"/>
    <w:rsid w:val="00865F79"/>
    <w:rsid w:val="008662CA"/>
    <w:rsid w:val="008665EA"/>
    <w:rsid w:val="0086775F"/>
    <w:rsid w:val="00867DC0"/>
    <w:rsid w:val="00870671"/>
    <w:rsid w:val="00870C32"/>
    <w:rsid w:val="0087334D"/>
    <w:rsid w:val="008735C9"/>
    <w:rsid w:val="008736E7"/>
    <w:rsid w:val="00873A70"/>
    <w:rsid w:val="00873FC9"/>
    <w:rsid w:val="008745AD"/>
    <w:rsid w:val="00874CA1"/>
    <w:rsid w:val="00874DC6"/>
    <w:rsid w:val="00876D01"/>
    <w:rsid w:val="0087719E"/>
    <w:rsid w:val="00880B97"/>
    <w:rsid w:val="00880C22"/>
    <w:rsid w:val="008813AA"/>
    <w:rsid w:val="008815F0"/>
    <w:rsid w:val="008818B3"/>
    <w:rsid w:val="00881EDD"/>
    <w:rsid w:val="00882E08"/>
    <w:rsid w:val="00883038"/>
    <w:rsid w:val="00884608"/>
    <w:rsid w:val="008851BE"/>
    <w:rsid w:val="00886139"/>
    <w:rsid w:val="00886C2B"/>
    <w:rsid w:val="00886DE3"/>
    <w:rsid w:val="00887080"/>
    <w:rsid w:val="00887691"/>
    <w:rsid w:val="008878B8"/>
    <w:rsid w:val="00887EDF"/>
    <w:rsid w:val="008939F0"/>
    <w:rsid w:val="00893AA1"/>
    <w:rsid w:val="008940FC"/>
    <w:rsid w:val="008948EE"/>
    <w:rsid w:val="008963D1"/>
    <w:rsid w:val="00897EA6"/>
    <w:rsid w:val="008A1AF8"/>
    <w:rsid w:val="008A20B7"/>
    <w:rsid w:val="008A2150"/>
    <w:rsid w:val="008A2277"/>
    <w:rsid w:val="008A257A"/>
    <w:rsid w:val="008A26D8"/>
    <w:rsid w:val="008A363F"/>
    <w:rsid w:val="008A4DD1"/>
    <w:rsid w:val="008A4DE1"/>
    <w:rsid w:val="008A68F9"/>
    <w:rsid w:val="008A6D82"/>
    <w:rsid w:val="008A78F0"/>
    <w:rsid w:val="008B03CB"/>
    <w:rsid w:val="008B1753"/>
    <w:rsid w:val="008B17D0"/>
    <w:rsid w:val="008B1A63"/>
    <w:rsid w:val="008B2C11"/>
    <w:rsid w:val="008B2D00"/>
    <w:rsid w:val="008B3055"/>
    <w:rsid w:val="008B4A38"/>
    <w:rsid w:val="008B4F9F"/>
    <w:rsid w:val="008B7CAF"/>
    <w:rsid w:val="008C0609"/>
    <w:rsid w:val="008C09B5"/>
    <w:rsid w:val="008C0D68"/>
    <w:rsid w:val="008C1580"/>
    <w:rsid w:val="008C2427"/>
    <w:rsid w:val="008C299C"/>
    <w:rsid w:val="008C2BBC"/>
    <w:rsid w:val="008C2F14"/>
    <w:rsid w:val="008C3FC2"/>
    <w:rsid w:val="008C423A"/>
    <w:rsid w:val="008C43B2"/>
    <w:rsid w:val="008C4723"/>
    <w:rsid w:val="008C4CDA"/>
    <w:rsid w:val="008C5544"/>
    <w:rsid w:val="008C5F77"/>
    <w:rsid w:val="008C6B11"/>
    <w:rsid w:val="008C7162"/>
    <w:rsid w:val="008C74CF"/>
    <w:rsid w:val="008D0202"/>
    <w:rsid w:val="008D0391"/>
    <w:rsid w:val="008D148E"/>
    <w:rsid w:val="008D2311"/>
    <w:rsid w:val="008D2EC3"/>
    <w:rsid w:val="008D35BC"/>
    <w:rsid w:val="008D3EE5"/>
    <w:rsid w:val="008D4634"/>
    <w:rsid w:val="008D5688"/>
    <w:rsid w:val="008D6D11"/>
    <w:rsid w:val="008D7D45"/>
    <w:rsid w:val="008E06C4"/>
    <w:rsid w:val="008E0ED3"/>
    <w:rsid w:val="008E1290"/>
    <w:rsid w:val="008E143E"/>
    <w:rsid w:val="008E1787"/>
    <w:rsid w:val="008E41B6"/>
    <w:rsid w:val="008E4B04"/>
    <w:rsid w:val="008E508E"/>
    <w:rsid w:val="008E5613"/>
    <w:rsid w:val="008E6283"/>
    <w:rsid w:val="008E6BC6"/>
    <w:rsid w:val="008E736D"/>
    <w:rsid w:val="008E7AD1"/>
    <w:rsid w:val="008E7DC8"/>
    <w:rsid w:val="008F0497"/>
    <w:rsid w:val="008F0948"/>
    <w:rsid w:val="008F1B66"/>
    <w:rsid w:val="008F1F50"/>
    <w:rsid w:val="008F2142"/>
    <w:rsid w:val="008F21A7"/>
    <w:rsid w:val="008F2897"/>
    <w:rsid w:val="008F32E6"/>
    <w:rsid w:val="008F50BE"/>
    <w:rsid w:val="008F514E"/>
    <w:rsid w:val="008F56DF"/>
    <w:rsid w:val="008F659B"/>
    <w:rsid w:val="008F6A6C"/>
    <w:rsid w:val="008F7C38"/>
    <w:rsid w:val="008F7DE3"/>
    <w:rsid w:val="0090207C"/>
    <w:rsid w:val="0090212A"/>
    <w:rsid w:val="00903736"/>
    <w:rsid w:val="00903BC0"/>
    <w:rsid w:val="00905425"/>
    <w:rsid w:val="009055C8"/>
    <w:rsid w:val="00905B08"/>
    <w:rsid w:val="00905DD4"/>
    <w:rsid w:val="00906862"/>
    <w:rsid w:val="00906D50"/>
    <w:rsid w:val="00907554"/>
    <w:rsid w:val="00907C0B"/>
    <w:rsid w:val="00907D1B"/>
    <w:rsid w:val="009105B6"/>
    <w:rsid w:val="009105CA"/>
    <w:rsid w:val="009108BE"/>
    <w:rsid w:val="00911056"/>
    <w:rsid w:val="0091125E"/>
    <w:rsid w:val="009113B6"/>
    <w:rsid w:val="0091152C"/>
    <w:rsid w:val="00911886"/>
    <w:rsid w:val="009121CC"/>
    <w:rsid w:val="009132D0"/>
    <w:rsid w:val="00914486"/>
    <w:rsid w:val="0091580B"/>
    <w:rsid w:val="00915C9A"/>
    <w:rsid w:val="00915F21"/>
    <w:rsid w:val="0091677D"/>
    <w:rsid w:val="00916AEB"/>
    <w:rsid w:val="00920801"/>
    <w:rsid w:val="00920C26"/>
    <w:rsid w:val="00921276"/>
    <w:rsid w:val="0092416A"/>
    <w:rsid w:val="00924858"/>
    <w:rsid w:val="009255C2"/>
    <w:rsid w:val="009256BE"/>
    <w:rsid w:val="00925B88"/>
    <w:rsid w:val="00927F9A"/>
    <w:rsid w:val="00927FD9"/>
    <w:rsid w:val="00930397"/>
    <w:rsid w:val="0093148E"/>
    <w:rsid w:val="00931806"/>
    <w:rsid w:val="00931999"/>
    <w:rsid w:val="00931A21"/>
    <w:rsid w:val="009321BE"/>
    <w:rsid w:val="00932FD8"/>
    <w:rsid w:val="00933D01"/>
    <w:rsid w:val="009342EA"/>
    <w:rsid w:val="009357BC"/>
    <w:rsid w:val="00935B44"/>
    <w:rsid w:val="00936078"/>
    <w:rsid w:val="009362AB"/>
    <w:rsid w:val="00936E78"/>
    <w:rsid w:val="009376A7"/>
    <w:rsid w:val="0093788B"/>
    <w:rsid w:val="009408A8"/>
    <w:rsid w:val="00940920"/>
    <w:rsid w:val="00941175"/>
    <w:rsid w:val="00941FD7"/>
    <w:rsid w:val="00943022"/>
    <w:rsid w:val="00944B16"/>
    <w:rsid w:val="00944DE1"/>
    <w:rsid w:val="00945C12"/>
    <w:rsid w:val="0094604A"/>
    <w:rsid w:val="00947178"/>
    <w:rsid w:val="00951116"/>
    <w:rsid w:val="009517D5"/>
    <w:rsid w:val="00951808"/>
    <w:rsid w:val="00951F40"/>
    <w:rsid w:val="00952600"/>
    <w:rsid w:val="00952E02"/>
    <w:rsid w:val="0095680D"/>
    <w:rsid w:val="0095702B"/>
    <w:rsid w:val="0095708A"/>
    <w:rsid w:val="009573D6"/>
    <w:rsid w:val="00957A18"/>
    <w:rsid w:val="00957B7F"/>
    <w:rsid w:val="009606F7"/>
    <w:rsid w:val="009607FE"/>
    <w:rsid w:val="00961801"/>
    <w:rsid w:val="009621DC"/>
    <w:rsid w:val="00963488"/>
    <w:rsid w:val="00965892"/>
    <w:rsid w:val="00965C66"/>
    <w:rsid w:val="0096724D"/>
    <w:rsid w:val="00967A89"/>
    <w:rsid w:val="00970D79"/>
    <w:rsid w:val="00970EE1"/>
    <w:rsid w:val="00971867"/>
    <w:rsid w:val="00972263"/>
    <w:rsid w:val="00972EFB"/>
    <w:rsid w:val="009753E5"/>
    <w:rsid w:val="0097546A"/>
    <w:rsid w:val="00980DA6"/>
    <w:rsid w:val="00980FE5"/>
    <w:rsid w:val="00982040"/>
    <w:rsid w:val="009825D1"/>
    <w:rsid w:val="00983D73"/>
    <w:rsid w:val="00984C25"/>
    <w:rsid w:val="00984E56"/>
    <w:rsid w:val="00985566"/>
    <w:rsid w:val="00985D02"/>
    <w:rsid w:val="00986AEC"/>
    <w:rsid w:val="00986BA1"/>
    <w:rsid w:val="00986FF9"/>
    <w:rsid w:val="0098796A"/>
    <w:rsid w:val="0099310D"/>
    <w:rsid w:val="00993298"/>
    <w:rsid w:val="00995960"/>
    <w:rsid w:val="009960F0"/>
    <w:rsid w:val="0099653C"/>
    <w:rsid w:val="00996E20"/>
    <w:rsid w:val="00997A0A"/>
    <w:rsid w:val="00997C22"/>
    <w:rsid w:val="009A1B75"/>
    <w:rsid w:val="009A1E19"/>
    <w:rsid w:val="009A1FCE"/>
    <w:rsid w:val="009A3012"/>
    <w:rsid w:val="009A4E27"/>
    <w:rsid w:val="009A502C"/>
    <w:rsid w:val="009A5117"/>
    <w:rsid w:val="009A6C6F"/>
    <w:rsid w:val="009A7FF6"/>
    <w:rsid w:val="009B0500"/>
    <w:rsid w:val="009B06B1"/>
    <w:rsid w:val="009B0B16"/>
    <w:rsid w:val="009B1368"/>
    <w:rsid w:val="009B1A4F"/>
    <w:rsid w:val="009B211F"/>
    <w:rsid w:val="009B2767"/>
    <w:rsid w:val="009B3D31"/>
    <w:rsid w:val="009B3F21"/>
    <w:rsid w:val="009B40C0"/>
    <w:rsid w:val="009B4E81"/>
    <w:rsid w:val="009B5050"/>
    <w:rsid w:val="009B5200"/>
    <w:rsid w:val="009B5775"/>
    <w:rsid w:val="009B5E44"/>
    <w:rsid w:val="009B6470"/>
    <w:rsid w:val="009B6596"/>
    <w:rsid w:val="009B65F0"/>
    <w:rsid w:val="009B669A"/>
    <w:rsid w:val="009B713D"/>
    <w:rsid w:val="009C068B"/>
    <w:rsid w:val="009C0C7B"/>
    <w:rsid w:val="009C0CC6"/>
    <w:rsid w:val="009C139F"/>
    <w:rsid w:val="009C22AB"/>
    <w:rsid w:val="009C2705"/>
    <w:rsid w:val="009C2ADB"/>
    <w:rsid w:val="009C2DA9"/>
    <w:rsid w:val="009C31AB"/>
    <w:rsid w:val="009C347E"/>
    <w:rsid w:val="009C3A81"/>
    <w:rsid w:val="009C4329"/>
    <w:rsid w:val="009C5612"/>
    <w:rsid w:val="009C59C2"/>
    <w:rsid w:val="009C6392"/>
    <w:rsid w:val="009C6A3B"/>
    <w:rsid w:val="009C725D"/>
    <w:rsid w:val="009D0329"/>
    <w:rsid w:val="009D0F82"/>
    <w:rsid w:val="009D1515"/>
    <w:rsid w:val="009D195A"/>
    <w:rsid w:val="009D22B8"/>
    <w:rsid w:val="009D30EC"/>
    <w:rsid w:val="009D3188"/>
    <w:rsid w:val="009D347E"/>
    <w:rsid w:val="009D54AA"/>
    <w:rsid w:val="009D56BA"/>
    <w:rsid w:val="009D6005"/>
    <w:rsid w:val="009D60A5"/>
    <w:rsid w:val="009D650D"/>
    <w:rsid w:val="009D66FB"/>
    <w:rsid w:val="009D7064"/>
    <w:rsid w:val="009E02A8"/>
    <w:rsid w:val="009E06D4"/>
    <w:rsid w:val="009E08DD"/>
    <w:rsid w:val="009E1057"/>
    <w:rsid w:val="009E2597"/>
    <w:rsid w:val="009E3606"/>
    <w:rsid w:val="009E421F"/>
    <w:rsid w:val="009E454C"/>
    <w:rsid w:val="009E542B"/>
    <w:rsid w:val="009E5B1E"/>
    <w:rsid w:val="009E699E"/>
    <w:rsid w:val="009E69C7"/>
    <w:rsid w:val="009F0CF3"/>
    <w:rsid w:val="009F14A9"/>
    <w:rsid w:val="009F1E09"/>
    <w:rsid w:val="009F283E"/>
    <w:rsid w:val="009F2BFF"/>
    <w:rsid w:val="009F51D1"/>
    <w:rsid w:val="009F6189"/>
    <w:rsid w:val="009F6536"/>
    <w:rsid w:val="009F6A0D"/>
    <w:rsid w:val="009F70C6"/>
    <w:rsid w:val="00A0024B"/>
    <w:rsid w:val="00A0092A"/>
    <w:rsid w:val="00A00B5C"/>
    <w:rsid w:val="00A01E9A"/>
    <w:rsid w:val="00A02585"/>
    <w:rsid w:val="00A02892"/>
    <w:rsid w:val="00A031B2"/>
    <w:rsid w:val="00A037C6"/>
    <w:rsid w:val="00A03A83"/>
    <w:rsid w:val="00A04D5D"/>
    <w:rsid w:val="00A054B6"/>
    <w:rsid w:val="00A104D0"/>
    <w:rsid w:val="00A129EB"/>
    <w:rsid w:val="00A14132"/>
    <w:rsid w:val="00A1429B"/>
    <w:rsid w:val="00A14E4E"/>
    <w:rsid w:val="00A1505C"/>
    <w:rsid w:val="00A15E94"/>
    <w:rsid w:val="00A16A42"/>
    <w:rsid w:val="00A16F11"/>
    <w:rsid w:val="00A172EC"/>
    <w:rsid w:val="00A2013D"/>
    <w:rsid w:val="00A21C7B"/>
    <w:rsid w:val="00A2272A"/>
    <w:rsid w:val="00A2298E"/>
    <w:rsid w:val="00A22B69"/>
    <w:rsid w:val="00A234E3"/>
    <w:rsid w:val="00A23C53"/>
    <w:rsid w:val="00A24A27"/>
    <w:rsid w:val="00A253D9"/>
    <w:rsid w:val="00A30110"/>
    <w:rsid w:val="00A30A28"/>
    <w:rsid w:val="00A31397"/>
    <w:rsid w:val="00A32558"/>
    <w:rsid w:val="00A326C9"/>
    <w:rsid w:val="00A32CC4"/>
    <w:rsid w:val="00A32E95"/>
    <w:rsid w:val="00A344E8"/>
    <w:rsid w:val="00A34B34"/>
    <w:rsid w:val="00A356D2"/>
    <w:rsid w:val="00A3609C"/>
    <w:rsid w:val="00A37313"/>
    <w:rsid w:val="00A377E5"/>
    <w:rsid w:val="00A37E15"/>
    <w:rsid w:val="00A4219C"/>
    <w:rsid w:val="00A424B9"/>
    <w:rsid w:val="00A425CC"/>
    <w:rsid w:val="00A42CAD"/>
    <w:rsid w:val="00A4351D"/>
    <w:rsid w:val="00A437AB"/>
    <w:rsid w:val="00A45E58"/>
    <w:rsid w:val="00A4647E"/>
    <w:rsid w:val="00A464B5"/>
    <w:rsid w:val="00A46E2D"/>
    <w:rsid w:val="00A47C47"/>
    <w:rsid w:val="00A51C28"/>
    <w:rsid w:val="00A526A2"/>
    <w:rsid w:val="00A534C0"/>
    <w:rsid w:val="00A535F7"/>
    <w:rsid w:val="00A53885"/>
    <w:rsid w:val="00A53E02"/>
    <w:rsid w:val="00A53EB2"/>
    <w:rsid w:val="00A55020"/>
    <w:rsid w:val="00A5570C"/>
    <w:rsid w:val="00A557ED"/>
    <w:rsid w:val="00A56098"/>
    <w:rsid w:val="00A56C8A"/>
    <w:rsid w:val="00A60A7E"/>
    <w:rsid w:val="00A6112C"/>
    <w:rsid w:val="00A611A7"/>
    <w:rsid w:val="00A61C1D"/>
    <w:rsid w:val="00A61D2C"/>
    <w:rsid w:val="00A62693"/>
    <w:rsid w:val="00A62947"/>
    <w:rsid w:val="00A63ECF"/>
    <w:rsid w:val="00A65796"/>
    <w:rsid w:val="00A66212"/>
    <w:rsid w:val="00A6628F"/>
    <w:rsid w:val="00A664AB"/>
    <w:rsid w:val="00A66573"/>
    <w:rsid w:val="00A66747"/>
    <w:rsid w:val="00A66EF8"/>
    <w:rsid w:val="00A70E23"/>
    <w:rsid w:val="00A7194A"/>
    <w:rsid w:val="00A7219D"/>
    <w:rsid w:val="00A72325"/>
    <w:rsid w:val="00A72FF3"/>
    <w:rsid w:val="00A733A9"/>
    <w:rsid w:val="00A73AE5"/>
    <w:rsid w:val="00A77E6F"/>
    <w:rsid w:val="00A809F3"/>
    <w:rsid w:val="00A82D32"/>
    <w:rsid w:val="00A83B33"/>
    <w:rsid w:val="00A83C3C"/>
    <w:rsid w:val="00A83FF5"/>
    <w:rsid w:val="00A84064"/>
    <w:rsid w:val="00A84FFE"/>
    <w:rsid w:val="00A8532D"/>
    <w:rsid w:val="00A8533C"/>
    <w:rsid w:val="00A855CF"/>
    <w:rsid w:val="00A856C1"/>
    <w:rsid w:val="00A85E6B"/>
    <w:rsid w:val="00A86112"/>
    <w:rsid w:val="00A86C88"/>
    <w:rsid w:val="00A86EF4"/>
    <w:rsid w:val="00A87989"/>
    <w:rsid w:val="00A87B2E"/>
    <w:rsid w:val="00A87C73"/>
    <w:rsid w:val="00A9239C"/>
    <w:rsid w:val="00A9386C"/>
    <w:rsid w:val="00A93C42"/>
    <w:rsid w:val="00A94202"/>
    <w:rsid w:val="00A942E0"/>
    <w:rsid w:val="00A953F2"/>
    <w:rsid w:val="00A962B1"/>
    <w:rsid w:val="00A96460"/>
    <w:rsid w:val="00A968FF"/>
    <w:rsid w:val="00A97320"/>
    <w:rsid w:val="00A9799E"/>
    <w:rsid w:val="00A979BB"/>
    <w:rsid w:val="00AA261C"/>
    <w:rsid w:val="00AA2AB7"/>
    <w:rsid w:val="00AA2DE9"/>
    <w:rsid w:val="00AA35EE"/>
    <w:rsid w:val="00AA3DAA"/>
    <w:rsid w:val="00AA46E4"/>
    <w:rsid w:val="00AA4DF2"/>
    <w:rsid w:val="00AA5821"/>
    <w:rsid w:val="00AA5F78"/>
    <w:rsid w:val="00AA6572"/>
    <w:rsid w:val="00AA6649"/>
    <w:rsid w:val="00AA70BE"/>
    <w:rsid w:val="00AA79D1"/>
    <w:rsid w:val="00AA7DC8"/>
    <w:rsid w:val="00AB0460"/>
    <w:rsid w:val="00AB0A68"/>
    <w:rsid w:val="00AB1480"/>
    <w:rsid w:val="00AB148F"/>
    <w:rsid w:val="00AB173B"/>
    <w:rsid w:val="00AB2CE0"/>
    <w:rsid w:val="00AB3A2D"/>
    <w:rsid w:val="00AB4A2C"/>
    <w:rsid w:val="00AB5451"/>
    <w:rsid w:val="00AB614D"/>
    <w:rsid w:val="00AB63CC"/>
    <w:rsid w:val="00AB78D7"/>
    <w:rsid w:val="00AC05B2"/>
    <w:rsid w:val="00AC1400"/>
    <w:rsid w:val="00AC2B2F"/>
    <w:rsid w:val="00AC3566"/>
    <w:rsid w:val="00AC423A"/>
    <w:rsid w:val="00AC4245"/>
    <w:rsid w:val="00AC49A7"/>
    <w:rsid w:val="00AC702B"/>
    <w:rsid w:val="00AC72BE"/>
    <w:rsid w:val="00AD0AB7"/>
    <w:rsid w:val="00AD0BCE"/>
    <w:rsid w:val="00AD0F38"/>
    <w:rsid w:val="00AD109F"/>
    <w:rsid w:val="00AD1115"/>
    <w:rsid w:val="00AD2253"/>
    <w:rsid w:val="00AD2CEA"/>
    <w:rsid w:val="00AD348C"/>
    <w:rsid w:val="00AD394C"/>
    <w:rsid w:val="00AD3E47"/>
    <w:rsid w:val="00AD538B"/>
    <w:rsid w:val="00AD7117"/>
    <w:rsid w:val="00AD71C5"/>
    <w:rsid w:val="00AD73CA"/>
    <w:rsid w:val="00AD7710"/>
    <w:rsid w:val="00AE1095"/>
    <w:rsid w:val="00AE13AF"/>
    <w:rsid w:val="00AE16A0"/>
    <w:rsid w:val="00AE1BC9"/>
    <w:rsid w:val="00AE2E49"/>
    <w:rsid w:val="00AE30A3"/>
    <w:rsid w:val="00AE3360"/>
    <w:rsid w:val="00AE397C"/>
    <w:rsid w:val="00AE3BC5"/>
    <w:rsid w:val="00AE3DC0"/>
    <w:rsid w:val="00AE55EB"/>
    <w:rsid w:val="00AE5B10"/>
    <w:rsid w:val="00AE5E37"/>
    <w:rsid w:val="00AE6B50"/>
    <w:rsid w:val="00AE7B0F"/>
    <w:rsid w:val="00AF081C"/>
    <w:rsid w:val="00AF1467"/>
    <w:rsid w:val="00AF236C"/>
    <w:rsid w:val="00AF2EA1"/>
    <w:rsid w:val="00AF2EFE"/>
    <w:rsid w:val="00AF35F8"/>
    <w:rsid w:val="00AF3BCC"/>
    <w:rsid w:val="00AF3ECA"/>
    <w:rsid w:val="00AF40FE"/>
    <w:rsid w:val="00AF4198"/>
    <w:rsid w:val="00AF4B9E"/>
    <w:rsid w:val="00AF4C9E"/>
    <w:rsid w:val="00AF5630"/>
    <w:rsid w:val="00AF57E2"/>
    <w:rsid w:val="00AF59B1"/>
    <w:rsid w:val="00AF5DB8"/>
    <w:rsid w:val="00AF651D"/>
    <w:rsid w:val="00AF6A31"/>
    <w:rsid w:val="00AF6D5F"/>
    <w:rsid w:val="00AF735C"/>
    <w:rsid w:val="00AF79B6"/>
    <w:rsid w:val="00AF7D27"/>
    <w:rsid w:val="00B00AAC"/>
    <w:rsid w:val="00B0144E"/>
    <w:rsid w:val="00B0462C"/>
    <w:rsid w:val="00B04BCF"/>
    <w:rsid w:val="00B04FE2"/>
    <w:rsid w:val="00B05334"/>
    <w:rsid w:val="00B05C80"/>
    <w:rsid w:val="00B060EC"/>
    <w:rsid w:val="00B07026"/>
    <w:rsid w:val="00B07306"/>
    <w:rsid w:val="00B07CA4"/>
    <w:rsid w:val="00B1092F"/>
    <w:rsid w:val="00B10D8A"/>
    <w:rsid w:val="00B11BB8"/>
    <w:rsid w:val="00B11BD6"/>
    <w:rsid w:val="00B12EE1"/>
    <w:rsid w:val="00B135B3"/>
    <w:rsid w:val="00B140FD"/>
    <w:rsid w:val="00B15279"/>
    <w:rsid w:val="00B1537D"/>
    <w:rsid w:val="00B15E46"/>
    <w:rsid w:val="00B16F43"/>
    <w:rsid w:val="00B203EF"/>
    <w:rsid w:val="00B2044A"/>
    <w:rsid w:val="00B222A0"/>
    <w:rsid w:val="00B22E3C"/>
    <w:rsid w:val="00B23D0E"/>
    <w:rsid w:val="00B23DAC"/>
    <w:rsid w:val="00B248C5"/>
    <w:rsid w:val="00B300DB"/>
    <w:rsid w:val="00B32995"/>
    <w:rsid w:val="00B3334D"/>
    <w:rsid w:val="00B3414B"/>
    <w:rsid w:val="00B344A0"/>
    <w:rsid w:val="00B34B2C"/>
    <w:rsid w:val="00B357B6"/>
    <w:rsid w:val="00B36094"/>
    <w:rsid w:val="00B36105"/>
    <w:rsid w:val="00B376F8"/>
    <w:rsid w:val="00B37C86"/>
    <w:rsid w:val="00B40092"/>
    <w:rsid w:val="00B401BF"/>
    <w:rsid w:val="00B404E8"/>
    <w:rsid w:val="00B40579"/>
    <w:rsid w:val="00B409D3"/>
    <w:rsid w:val="00B418F7"/>
    <w:rsid w:val="00B41FAD"/>
    <w:rsid w:val="00B42430"/>
    <w:rsid w:val="00B43206"/>
    <w:rsid w:val="00B43FED"/>
    <w:rsid w:val="00B44633"/>
    <w:rsid w:val="00B45095"/>
    <w:rsid w:val="00B45620"/>
    <w:rsid w:val="00B4756E"/>
    <w:rsid w:val="00B478E2"/>
    <w:rsid w:val="00B50380"/>
    <w:rsid w:val="00B50A4C"/>
    <w:rsid w:val="00B51568"/>
    <w:rsid w:val="00B52AA6"/>
    <w:rsid w:val="00B53180"/>
    <w:rsid w:val="00B5318A"/>
    <w:rsid w:val="00B5360F"/>
    <w:rsid w:val="00B539BC"/>
    <w:rsid w:val="00B54DE6"/>
    <w:rsid w:val="00B55CEC"/>
    <w:rsid w:val="00B564FB"/>
    <w:rsid w:val="00B567E1"/>
    <w:rsid w:val="00B57622"/>
    <w:rsid w:val="00B57654"/>
    <w:rsid w:val="00B57D50"/>
    <w:rsid w:val="00B6041B"/>
    <w:rsid w:val="00B60441"/>
    <w:rsid w:val="00B60859"/>
    <w:rsid w:val="00B60D1E"/>
    <w:rsid w:val="00B61C51"/>
    <w:rsid w:val="00B629AD"/>
    <w:rsid w:val="00B63E2E"/>
    <w:rsid w:val="00B643B7"/>
    <w:rsid w:val="00B65144"/>
    <w:rsid w:val="00B65F80"/>
    <w:rsid w:val="00B6615D"/>
    <w:rsid w:val="00B662E0"/>
    <w:rsid w:val="00B701C5"/>
    <w:rsid w:val="00B7110A"/>
    <w:rsid w:val="00B715DF"/>
    <w:rsid w:val="00B721D6"/>
    <w:rsid w:val="00B73684"/>
    <w:rsid w:val="00B73D62"/>
    <w:rsid w:val="00B744C5"/>
    <w:rsid w:val="00B75468"/>
    <w:rsid w:val="00B75A37"/>
    <w:rsid w:val="00B75B37"/>
    <w:rsid w:val="00B75BAA"/>
    <w:rsid w:val="00B762F6"/>
    <w:rsid w:val="00B769E5"/>
    <w:rsid w:val="00B76D40"/>
    <w:rsid w:val="00B773F2"/>
    <w:rsid w:val="00B81008"/>
    <w:rsid w:val="00B815D7"/>
    <w:rsid w:val="00B8188F"/>
    <w:rsid w:val="00B8194D"/>
    <w:rsid w:val="00B81D45"/>
    <w:rsid w:val="00B826E6"/>
    <w:rsid w:val="00B83497"/>
    <w:rsid w:val="00B84833"/>
    <w:rsid w:val="00B855EC"/>
    <w:rsid w:val="00B87535"/>
    <w:rsid w:val="00B91FA5"/>
    <w:rsid w:val="00B9202C"/>
    <w:rsid w:val="00B93924"/>
    <w:rsid w:val="00B94017"/>
    <w:rsid w:val="00B9571E"/>
    <w:rsid w:val="00B95ADF"/>
    <w:rsid w:val="00B965CD"/>
    <w:rsid w:val="00B970E3"/>
    <w:rsid w:val="00B97C49"/>
    <w:rsid w:val="00B97D88"/>
    <w:rsid w:val="00BA1065"/>
    <w:rsid w:val="00BA1C60"/>
    <w:rsid w:val="00BA1F28"/>
    <w:rsid w:val="00BA26D4"/>
    <w:rsid w:val="00BA2D18"/>
    <w:rsid w:val="00BA3216"/>
    <w:rsid w:val="00BA45F6"/>
    <w:rsid w:val="00BA4ED1"/>
    <w:rsid w:val="00BA516D"/>
    <w:rsid w:val="00BA62A7"/>
    <w:rsid w:val="00BA6DD7"/>
    <w:rsid w:val="00BA7D94"/>
    <w:rsid w:val="00BA7E87"/>
    <w:rsid w:val="00BB0159"/>
    <w:rsid w:val="00BB13D1"/>
    <w:rsid w:val="00BB1AE1"/>
    <w:rsid w:val="00BB1D86"/>
    <w:rsid w:val="00BB3DAC"/>
    <w:rsid w:val="00BB441B"/>
    <w:rsid w:val="00BB4C99"/>
    <w:rsid w:val="00BB4DAD"/>
    <w:rsid w:val="00BB539D"/>
    <w:rsid w:val="00BB5697"/>
    <w:rsid w:val="00BB674D"/>
    <w:rsid w:val="00BB7489"/>
    <w:rsid w:val="00BB7684"/>
    <w:rsid w:val="00BB7F26"/>
    <w:rsid w:val="00BC0BD6"/>
    <w:rsid w:val="00BC133A"/>
    <w:rsid w:val="00BC2A34"/>
    <w:rsid w:val="00BC4EC1"/>
    <w:rsid w:val="00BC568E"/>
    <w:rsid w:val="00BC595C"/>
    <w:rsid w:val="00BC5D3D"/>
    <w:rsid w:val="00BD02F2"/>
    <w:rsid w:val="00BD08FB"/>
    <w:rsid w:val="00BD134D"/>
    <w:rsid w:val="00BD16A4"/>
    <w:rsid w:val="00BD1C1B"/>
    <w:rsid w:val="00BD2A4B"/>
    <w:rsid w:val="00BD4849"/>
    <w:rsid w:val="00BD515B"/>
    <w:rsid w:val="00BD5B27"/>
    <w:rsid w:val="00BD6890"/>
    <w:rsid w:val="00BD7B3F"/>
    <w:rsid w:val="00BD7BF8"/>
    <w:rsid w:val="00BE131C"/>
    <w:rsid w:val="00BE1680"/>
    <w:rsid w:val="00BE188F"/>
    <w:rsid w:val="00BE1D66"/>
    <w:rsid w:val="00BE27D5"/>
    <w:rsid w:val="00BE3591"/>
    <w:rsid w:val="00BE384F"/>
    <w:rsid w:val="00BE3AC4"/>
    <w:rsid w:val="00BE4D26"/>
    <w:rsid w:val="00BE5729"/>
    <w:rsid w:val="00BE591E"/>
    <w:rsid w:val="00BE5AD3"/>
    <w:rsid w:val="00BE5BF1"/>
    <w:rsid w:val="00BE6371"/>
    <w:rsid w:val="00BE6AEC"/>
    <w:rsid w:val="00BE7C10"/>
    <w:rsid w:val="00BE7F67"/>
    <w:rsid w:val="00BE7F9F"/>
    <w:rsid w:val="00BF0119"/>
    <w:rsid w:val="00BF08BB"/>
    <w:rsid w:val="00BF0C4B"/>
    <w:rsid w:val="00BF13D3"/>
    <w:rsid w:val="00BF3278"/>
    <w:rsid w:val="00BF39A3"/>
    <w:rsid w:val="00BF48FD"/>
    <w:rsid w:val="00BF55EF"/>
    <w:rsid w:val="00BF5B8F"/>
    <w:rsid w:val="00BF5FBE"/>
    <w:rsid w:val="00BF68BE"/>
    <w:rsid w:val="00BF6B93"/>
    <w:rsid w:val="00BF7007"/>
    <w:rsid w:val="00BF75A5"/>
    <w:rsid w:val="00C00370"/>
    <w:rsid w:val="00C008B7"/>
    <w:rsid w:val="00C008ED"/>
    <w:rsid w:val="00C00914"/>
    <w:rsid w:val="00C010BF"/>
    <w:rsid w:val="00C01789"/>
    <w:rsid w:val="00C0232A"/>
    <w:rsid w:val="00C02942"/>
    <w:rsid w:val="00C0326E"/>
    <w:rsid w:val="00C03902"/>
    <w:rsid w:val="00C06207"/>
    <w:rsid w:val="00C06F3D"/>
    <w:rsid w:val="00C072FA"/>
    <w:rsid w:val="00C07ADA"/>
    <w:rsid w:val="00C1002B"/>
    <w:rsid w:val="00C105B7"/>
    <w:rsid w:val="00C1096E"/>
    <w:rsid w:val="00C12ABE"/>
    <w:rsid w:val="00C16BC2"/>
    <w:rsid w:val="00C17334"/>
    <w:rsid w:val="00C20A19"/>
    <w:rsid w:val="00C20C31"/>
    <w:rsid w:val="00C20F5C"/>
    <w:rsid w:val="00C210DE"/>
    <w:rsid w:val="00C216B2"/>
    <w:rsid w:val="00C21C3E"/>
    <w:rsid w:val="00C22FB0"/>
    <w:rsid w:val="00C23F21"/>
    <w:rsid w:val="00C24385"/>
    <w:rsid w:val="00C24B92"/>
    <w:rsid w:val="00C24CED"/>
    <w:rsid w:val="00C24FE1"/>
    <w:rsid w:val="00C25060"/>
    <w:rsid w:val="00C25CD0"/>
    <w:rsid w:val="00C27080"/>
    <w:rsid w:val="00C30808"/>
    <w:rsid w:val="00C30F97"/>
    <w:rsid w:val="00C3119B"/>
    <w:rsid w:val="00C31416"/>
    <w:rsid w:val="00C31B08"/>
    <w:rsid w:val="00C31FD9"/>
    <w:rsid w:val="00C32648"/>
    <w:rsid w:val="00C33375"/>
    <w:rsid w:val="00C35287"/>
    <w:rsid w:val="00C35486"/>
    <w:rsid w:val="00C35D89"/>
    <w:rsid w:val="00C3692F"/>
    <w:rsid w:val="00C371E6"/>
    <w:rsid w:val="00C37440"/>
    <w:rsid w:val="00C4053D"/>
    <w:rsid w:val="00C417B9"/>
    <w:rsid w:val="00C41C6F"/>
    <w:rsid w:val="00C43303"/>
    <w:rsid w:val="00C4424C"/>
    <w:rsid w:val="00C45500"/>
    <w:rsid w:val="00C457F8"/>
    <w:rsid w:val="00C4582F"/>
    <w:rsid w:val="00C458CE"/>
    <w:rsid w:val="00C469DA"/>
    <w:rsid w:val="00C46CE3"/>
    <w:rsid w:val="00C46D74"/>
    <w:rsid w:val="00C47EF5"/>
    <w:rsid w:val="00C51539"/>
    <w:rsid w:val="00C51C22"/>
    <w:rsid w:val="00C52105"/>
    <w:rsid w:val="00C52856"/>
    <w:rsid w:val="00C53271"/>
    <w:rsid w:val="00C545DD"/>
    <w:rsid w:val="00C54666"/>
    <w:rsid w:val="00C5588A"/>
    <w:rsid w:val="00C55CE3"/>
    <w:rsid w:val="00C5757B"/>
    <w:rsid w:val="00C575A6"/>
    <w:rsid w:val="00C6170E"/>
    <w:rsid w:val="00C6181F"/>
    <w:rsid w:val="00C61E64"/>
    <w:rsid w:val="00C64955"/>
    <w:rsid w:val="00C6615C"/>
    <w:rsid w:val="00C66D70"/>
    <w:rsid w:val="00C67C35"/>
    <w:rsid w:val="00C706BB"/>
    <w:rsid w:val="00C70FBE"/>
    <w:rsid w:val="00C72742"/>
    <w:rsid w:val="00C72BE4"/>
    <w:rsid w:val="00C7365F"/>
    <w:rsid w:val="00C74236"/>
    <w:rsid w:val="00C76B9D"/>
    <w:rsid w:val="00C771F3"/>
    <w:rsid w:val="00C77480"/>
    <w:rsid w:val="00C77569"/>
    <w:rsid w:val="00C776BF"/>
    <w:rsid w:val="00C807C2"/>
    <w:rsid w:val="00C809B5"/>
    <w:rsid w:val="00C80BFA"/>
    <w:rsid w:val="00C812A2"/>
    <w:rsid w:val="00C818C1"/>
    <w:rsid w:val="00C81B20"/>
    <w:rsid w:val="00C826C2"/>
    <w:rsid w:val="00C82E6F"/>
    <w:rsid w:val="00C82EF5"/>
    <w:rsid w:val="00C83620"/>
    <w:rsid w:val="00C84F04"/>
    <w:rsid w:val="00C85515"/>
    <w:rsid w:val="00C8639D"/>
    <w:rsid w:val="00C86AF4"/>
    <w:rsid w:val="00C86AFD"/>
    <w:rsid w:val="00C875B4"/>
    <w:rsid w:val="00C8782F"/>
    <w:rsid w:val="00C87834"/>
    <w:rsid w:val="00C87CA3"/>
    <w:rsid w:val="00C91EA5"/>
    <w:rsid w:val="00C91FB7"/>
    <w:rsid w:val="00C92A07"/>
    <w:rsid w:val="00C9341A"/>
    <w:rsid w:val="00C93EEF"/>
    <w:rsid w:val="00C95418"/>
    <w:rsid w:val="00C95E97"/>
    <w:rsid w:val="00C9627A"/>
    <w:rsid w:val="00C972AD"/>
    <w:rsid w:val="00C97523"/>
    <w:rsid w:val="00CA1D10"/>
    <w:rsid w:val="00CA20AB"/>
    <w:rsid w:val="00CA2922"/>
    <w:rsid w:val="00CA3017"/>
    <w:rsid w:val="00CA419A"/>
    <w:rsid w:val="00CA442B"/>
    <w:rsid w:val="00CA4F3C"/>
    <w:rsid w:val="00CA5036"/>
    <w:rsid w:val="00CA5128"/>
    <w:rsid w:val="00CA5883"/>
    <w:rsid w:val="00CA58B2"/>
    <w:rsid w:val="00CA5B9C"/>
    <w:rsid w:val="00CA605D"/>
    <w:rsid w:val="00CA6118"/>
    <w:rsid w:val="00CA6BDC"/>
    <w:rsid w:val="00CA7818"/>
    <w:rsid w:val="00CA78FA"/>
    <w:rsid w:val="00CA7AAD"/>
    <w:rsid w:val="00CB030C"/>
    <w:rsid w:val="00CB058A"/>
    <w:rsid w:val="00CB11CA"/>
    <w:rsid w:val="00CB12BC"/>
    <w:rsid w:val="00CB1603"/>
    <w:rsid w:val="00CB19E4"/>
    <w:rsid w:val="00CB2C2D"/>
    <w:rsid w:val="00CB37FE"/>
    <w:rsid w:val="00CB46D1"/>
    <w:rsid w:val="00CB4BCC"/>
    <w:rsid w:val="00CB55D3"/>
    <w:rsid w:val="00CB570F"/>
    <w:rsid w:val="00CB6156"/>
    <w:rsid w:val="00CB6677"/>
    <w:rsid w:val="00CB6754"/>
    <w:rsid w:val="00CB6D82"/>
    <w:rsid w:val="00CB762B"/>
    <w:rsid w:val="00CB7B89"/>
    <w:rsid w:val="00CC03D3"/>
    <w:rsid w:val="00CC0450"/>
    <w:rsid w:val="00CC1E31"/>
    <w:rsid w:val="00CC2181"/>
    <w:rsid w:val="00CC25C9"/>
    <w:rsid w:val="00CC26D7"/>
    <w:rsid w:val="00CC289C"/>
    <w:rsid w:val="00CC3093"/>
    <w:rsid w:val="00CC30B6"/>
    <w:rsid w:val="00CC3A61"/>
    <w:rsid w:val="00CC3ACE"/>
    <w:rsid w:val="00CC42A3"/>
    <w:rsid w:val="00CC4674"/>
    <w:rsid w:val="00CC482A"/>
    <w:rsid w:val="00CC497F"/>
    <w:rsid w:val="00CC4E85"/>
    <w:rsid w:val="00CC4FB3"/>
    <w:rsid w:val="00CC5A69"/>
    <w:rsid w:val="00CC6073"/>
    <w:rsid w:val="00CC66EE"/>
    <w:rsid w:val="00CC69E6"/>
    <w:rsid w:val="00CC6E02"/>
    <w:rsid w:val="00CC700F"/>
    <w:rsid w:val="00CC7857"/>
    <w:rsid w:val="00CD05C6"/>
    <w:rsid w:val="00CD0ECC"/>
    <w:rsid w:val="00CD110A"/>
    <w:rsid w:val="00CD17DF"/>
    <w:rsid w:val="00CD19AE"/>
    <w:rsid w:val="00CD25BC"/>
    <w:rsid w:val="00CD2B9B"/>
    <w:rsid w:val="00CD2D20"/>
    <w:rsid w:val="00CD350B"/>
    <w:rsid w:val="00CD354C"/>
    <w:rsid w:val="00CD3AF5"/>
    <w:rsid w:val="00CD3D28"/>
    <w:rsid w:val="00CD3F93"/>
    <w:rsid w:val="00CD4402"/>
    <w:rsid w:val="00CD45A4"/>
    <w:rsid w:val="00CD5249"/>
    <w:rsid w:val="00CD54D2"/>
    <w:rsid w:val="00CD683D"/>
    <w:rsid w:val="00CD6F12"/>
    <w:rsid w:val="00CD7EE3"/>
    <w:rsid w:val="00CE126E"/>
    <w:rsid w:val="00CE2707"/>
    <w:rsid w:val="00CE4431"/>
    <w:rsid w:val="00CE47AC"/>
    <w:rsid w:val="00CE4B1D"/>
    <w:rsid w:val="00CE53BA"/>
    <w:rsid w:val="00CE68E2"/>
    <w:rsid w:val="00CE6E3B"/>
    <w:rsid w:val="00CE74DC"/>
    <w:rsid w:val="00CF084F"/>
    <w:rsid w:val="00CF0B8B"/>
    <w:rsid w:val="00CF1684"/>
    <w:rsid w:val="00CF30A4"/>
    <w:rsid w:val="00CF3A3C"/>
    <w:rsid w:val="00CF4857"/>
    <w:rsid w:val="00CF6E5F"/>
    <w:rsid w:val="00D003C9"/>
    <w:rsid w:val="00D007BF"/>
    <w:rsid w:val="00D0106D"/>
    <w:rsid w:val="00D010A7"/>
    <w:rsid w:val="00D01422"/>
    <w:rsid w:val="00D01BB9"/>
    <w:rsid w:val="00D02360"/>
    <w:rsid w:val="00D0243A"/>
    <w:rsid w:val="00D02B0B"/>
    <w:rsid w:val="00D02F2B"/>
    <w:rsid w:val="00D033D8"/>
    <w:rsid w:val="00D06446"/>
    <w:rsid w:val="00D0693D"/>
    <w:rsid w:val="00D073C5"/>
    <w:rsid w:val="00D07AFB"/>
    <w:rsid w:val="00D10713"/>
    <w:rsid w:val="00D11CFC"/>
    <w:rsid w:val="00D11FE3"/>
    <w:rsid w:val="00D12393"/>
    <w:rsid w:val="00D12FFE"/>
    <w:rsid w:val="00D13362"/>
    <w:rsid w:val="00D15765"/>
    <w:rsid w:val="00D174D4"/>
    <w:rsid w:val="00D205F4"/>
    <w:rsid w:val="00D20FCA"/>
    <w:rsid w:val="00D21748"/>
    <w:rsid w:val="00D21B69"/>
    <w:rsid w:val="00D223B6"/>
    <w:rsid w:val="00D22CFF"/>
    <w:rsid w:val="00D2307F"/>
    <w:rsid w:val="00D24464"/>
    <w:rsid w:val="00D2463D"/>
    <w:rsid w:val="00D247D0"/>
    <w:rsid w:val="00D254A5"/>
    <w:rsid w:val="00D2559C"/>
    <w:rsid w:val="00D26B4E"/>
    <w:rsid w:val="00D26EAB"/>
    <w:rsid w:val="00D27A81"/>
    <w:rsid w:val="00D27FC8"/>
    <w:rsid w:val="00D302C1"/>
    <w:rsid w:val="00D30B96"/>
    <w:rsid w:val="00D31420"/>
    <w:rsid w:val="00D3152B"/>
    <w:rsid w:val="00D31953"/>
    <w:rsid w:val="00D336CA"/>
    <w:rsid w:val="00D338B1"/>
    <w:rsid w:val="00D33DED"/>
    <w:rsid w:val="00D34246"/>
    <w:rsid w:val="00D34A18"/>
    <w:rsid w:val="00D35032"/>
    <w:rsid w:val="00D35439"/>
    <w:rsid w:val="00D357ED"/>
    <w:rsid w:val="00D362A3"/>
    <w:rsid w:val="00D36C5F"/>
    <w:rsid w:val="00D40417"/>
    <w:rsid w:val="00D404D9"/>
    <w:rsid w:val="00D405A9"/>
    <w:rsid w:val="00D409C2"/>
    <w:rsid w:val="00D40D52"/>
    <w:rsid w:val="00D41B7A"/>
    <w:rsid w:val="00D43C07"/>
    <w:rsid w:val="00D44AB5"/>
    <w:rsid w:val="00D44C14"/>
    <w:rsid w:val="00D45273"/>
    <w:rsid w:val="00D45BB1"/>
    <w:rsid w:val="00D45F0E"/>
    <w:rsid w:val="00D4679A"/>
    <w:rsid w:val="00D472B0"/>
    <w:rsid w:val="00D506E6"/>
    <w:rsid w:val="00D50E38"/>
    <w:rsid w:val="00D512D4"/>
    <w:rsid w:val="00D5148B"/>
    <w:rsid w:val="00D51DFD"/>
    <w:rsid w:val="00D521BC"/>
    <w:rsid w:val="00D52B7A"/>
    <w:rsid w:val="00D53341"/>
    <w:rsid w:val="00D53C45"/>
    <w:rsid w:val="00D54ADD"/>
    <w:rsid w:val="00D54BF1"/>
    <w:rsid w:val="00D5542F"/>
    <w:rsid w:val="00D558C8"/>
    <w:rsid w:val="00D55B21"/>
    <w:rsid w:val="00D5626E"/>
    <w:rsid w:val="00D574D7"/>
    <w:rsid w:val="00D57B51"/>
    <w:rsid w:val="00D60A8F"/>
    <w:rsid w:val="00D61E5E"/>
    <w:rsid w:val="00D62106"/>
    <w:rsid w:val="00D62694"/>
    <w:rsid w:val="00D636D8"/>
    <w:rsid w:val="00D64A40"/>
    <w:rsid w:val="00D65872"/>
    <w:rsid w:val="00D65E5A"/>
    <w:rsid w:val="00D669D8"/>
    <w:rsid w:val="00D6710B"/>
    <w:rsid w:val="00D6780C"/>
    <w:rsid w:val="00D716BC"/>
    <w:rsid w:val="00D71776"/>
    <w:rsid w:val="00D72ADB"/>
    <w:rsid w:val="00D72BC1"/>
    <w:rsid w:val="00D73DFF"/>
    <w:rsid w:val="00D73F6A"/>
    <w:rsid w:val="00D740CF"/>
    <w:rsid w:val="00D75542"/>
    <w:rsid w:val="00D75F03"/>
    <w:rsid w:val="00D7601C"/>
    <w:rsid w:val="00D7642A"/>
    <w:rsid w:val="00D76C11"/>
    <w:rsid w:val="00D76DDD"/>
    <w:rsid w:val="00D771DD"/>
    <w:rsid w:val="00D7754C"/>
    <w:rsid w:val="00D7786E"/>
    <w:rsid w:val="00D801EC"/>
    <w:rsid w:val="00D81102"/>
    <w:rsid w:val="00D819AA"/>
    <w:rsid w:val="00D81B32"/>
    <w:rsid w:val="00D82DCC"/>
    <w:rsid w:val="00D831EE"/>
    <w:rsid w:val="00D833A8"/>
    <w:rsid w:val="00D8386B"/>
    <w:rsid w:val="00D843D0"/>
    <w:rsid w:val="00D84AF4"/>
    <w:rsid w:val="00D863D1"/>
    <w:rsid w:val="00D8738E"/>
    <w:rsid w:val="00D87823"/>
    <w:rsid w:val="00D87BCC"/>
    <w:rsid w:val="00D87CD7"/>
    <w:rsid w:val="00D87FB2"/>
    <w:rsid w:val="00D907ED"/>
    <w:rsid w:val="00D9136D"/>
    <w:rsid w:val="00D914BD"/>
    <w:rsid w:val="00D914DC"/>
    <w:rsid w:val="00D92BC6"/>
    <w:rsid w:val="00D93171"/>
    <w:rsid w:val="00D93475"/>
    <w:rsid w:val="00D94966"/>
    <w:rsid w:val="00D95728"/>
    <w:rsid w:val="00D96690"/>
    <w:rsid w:val="00D9746C"/>
    <w:rsid w:val="00DA1B63"/>
    <w:rsid w:val="00DA287C"/>
    <w:rsid w:val="00DA37BC"/>
    <w:rsid w:val="00DA381E"/>
    <w:rsid w:val="00DA4985"/>
    <w:rsid w:val="00DA4DFE"/>
    <w:rsid w:val="00DA59ED"/>
    <w:rsid w:val="00DA6611"/>
    <w:rsid w:val="00DA6A8C"/>
    <w:rsid w:val="00DA71DC"/>
    <w:rsid w:val="00DA76EC"/>
    <w:rsid w:val="00DA7E68"/>
    <w:rsid w:val="00DB0E55"/>
    <w:rsid w:val="00DB20E2"/>
    <w:rsid w:val="00DB26E8"/>
    <w:rsid w:val="00DB344B"/>
    <w:rsid w:val="00DB34B8"/>
    <w:rsid w:val="00DB4661"/>
    <w:rsid w:val="00DB49CB"/>
    <w:rsid w:val="00DB53D3"/>
    <w:rsid w:val="00DB5B98"/>
    <w:rsid w:val="00DB6492"/>
    <w:rsid w:val="00DB726A"/>
    <w:rsid w:val="00DB7716"/>
    <w:rsid w:val="00DB7DA0"/>
    <w:rsid w:val="00DB7EDC"/>
    <w:rsid w:val="00DB7FF4"/>
    <w:rsid w:val="00DC02B0"/>
    <w:rsid w:val="00DC1698"/>
    <w:rsid w:val="00DC2087"/>
    <w:rsid w:val="00DC21BC"/>
    <w:rsid w:val="00DC2449"/>
    <w:rsid w:val="00DC26E6"/>
    <w:rsid w:val="00DC32EF"/>
    <w:rsid w:val="00DC56EA"/>
    <w:rsid w:val="00DC6279"/>
    <w:rsid w:val="00DC67D5"/>
    <w:rsid w:val="00DC723C"/>
    <w:rsid w:val="00DC7B6D"/>
    <w:rsid w:val="00DD0F35"/>
    <w:rsid w:val="00DD118A"/>
    <w:rsid w:val="00DD22D1"/>
    <w:rsid w:val="00DD243E"/>
    <w:rsid w:val="00DD2BE5"/>
    <w:rsid w:val="00DD2FDD"/>
    <w:rsid w:val="00DD3CEF"/>
    <w:rsid w:val="00DD3CF1"/>
    <w:rsid w:val="00DD4DB5"/>
    <w:rsid w:val="00DD5700"/>
    <w:rsid w:val="00DD5C26"/>
    <w:rsid w:val="00DD600D"/>
    <w:rsid w:val="00DD6971"/>
    <w:rsid w:val="00DD6D89"/>
    <w:rsid w:val="00DD74AC"/>
    <w:rsid w:val="00DD7D6A"/>
    <w:rsid w:val="00DE0532"/>
    <w:rsid w:val="00DE057E"/>
    <w:rsid w:val="00DE0C37"/>
    <w:rsid w:val="00DE1AE1"/>
    <w:rsid w:val="00DE1CF7"/>
    <w:rsid w:val="00DE2336"/>
    <w:rsid w:val="00DE25CF"/>
    <w:rsid w:val="00DE47ED"/>
    <w:rsid w:val="00DE528D"/>
    <w:rsid w:val="00DF12CA"/>
    <w:rsid w:val="00DF18B1"/>
    <w:rsid w:val="00DF29D8"/>
    <w:rsid w:val="00DF35D7"/>
    <w:rsid w:val="00DF494D"/>
    <w:rsid w:val="00DF4C42"/>
    <w:rsid w:val="00DF605C"/>
    <w:rsid w:val="00DF696C"/>
    <w:rsid w:val="00DF73A8"/>
    <w:rsid w:val="00DF7491"/>
    <w:rsid w:val="00DF77C0"/>
    <w:rsid w:val="00E00153"/>
    <w:rsid w:val="00E02521"/>
    <w:rsid w:val="00E034D4"/>
    <w:rsid w:val="00E04522"/>
    <w:rsid w:val="00E04811"/>
    <w:rsid w:val="00E04830"/>
    <w:rsid w:val="00E06984"/>
    <w:rsid w:val="00E07040"/>
    <w:rsid w:val="00E0745D"/>
    <w:rsid w:val="00E07A1D"/>
    <w:rsid w:val="00E07B58"/>
    <w:rsid w:val="00E1066D"/>
    <w:rsid w:val="00E117C6"/>
    <w:rsid w:val="00E123DA"/>
    <w:rsid w:val="00E12640"/>
    <w:rsid w:val="00E12740"/>
    <w:rsid w:val="00E136B6"/>
    <w:rsid w:val="00E13E62"/>
    <w:rsid w:val="00E148D0"/>
    <w:rsid w:val="00E153A4"/>
    <w:rsid w:val="00E179C7"/>
    <w:rsid w:val="00E212D4"/>
    <w:rsid w:val="00E21780"/>
    <w:rsid w:val="00E219FD"/>
    <w:rsid w:val="00E21A7D"/>
    <w:rsid w:val="00E22B09"/>
    <w:rsid w:val="00E23CE9"/>
    <w:rsid w:val="00E23F8A"/>
    <w:rsid w:val="00E257F6"/>
    <w:rsid w:val="00E25838"/>
    <w:rsid w:val="00E261F9"/>
    <w:rsid w:val="00E26327"/>
    <w:rsid w:val="00E265A5"/>
    <w:rsid w:val="00E26D29"/>
    <w:rsid w:val="00E27F37"/>
    <w:rsid w:val="00E300F9"/>
    <w:rsid w:val="00E304FA"/>
    <w:rsid w:val="00E30A45"/>
    <w:rsid w:val="00E30D57"/>
    <w:rsid w:val="00E31A6F"/>
    <w:rsid w:val="00E331A6"/>
    <w:rsid w:val="00E33595"/>
    <w:rsid w:val="00E35BA9"/>
    <w:rsid w:val="00E370BA"/>
    <w:rsid w:val="00E40842"/>
    <w:rsid w:val="00E417AB"/>
    <w:rsid w:val="00E41916"/>
    <w:rsid w:val="00E41B20"/>
    <w:rsid w:val="00E41CA5"/>
    <w:rsid w:val="00E41F03"/>
    <w:rsid w:val="00E4250C"/>
    <w:rsid w:val="00E428C9"/>
    <w:rsid w:val="00E42F35"/>
    <w:rsid w:val="00E4365C"/>
    <w:rsid w:val="00E436CF"/>
    <w:rsid w:val="00E439DD"/>
    <w:rsid w:val="00E446FE"/>
    <w:rsid w:val="00E44934"/>
    <w:rsid w:val="00E4500C"/>
    <w:rsid w:val="00E46C63"/>
    <w:rsid w:val="00E46F36"/>
    <w:rsid w:val="00E47751"/>
    <w:rsid w:val="00E4797D"/>
    <w:rsid w:val="00E479DF"/>
    <w:rsid w:val="00E50A4E"/>
    <w:rsid w:val="00E51CF4"/>
    <w:rsid w:val="00E52662"/>
    <w:rsid w:val="00E52BED"/>
    <w:rsid w:val="00E52F29"/>
    <w:rsid w:val="00E54890"/>
    <w:rsid w:val="00E554C6"/>
    <w:rsid w:val="00E55EDC"/>
    <w:rsid w:val="00E56BFF"/>
    <w:rsid w:val="00E57C75"/>
    <w:rsid w:val="00E57C8A"/>
    <w:rsid w:val="00E60492"/>
    <w:rsid w:val="00E61DB9"/>
    <w:rsid w:val="00E629B9"/>
    <w:rsid w:val="00E62D34"/>
    <w:rsid w:val="00E62E16"/>
    <w:rsid w:val="00E64997"/>
    <w:rsid w:val="00E64B1D"/>
    <w:rsid w:val="00E651FF"/>
    <w:rsid w:val="00E65BEE"/>
    <w:rsid w:val="00E660F1"/>
    <w:rsid w:val="00E66CC4"/>
    <w:rsid w:val="00E7018F"/>
    <w:rsid w:val="00E702A3"/>
    <w:rsid w:val="00E70D29"/>
    <w:rsid w:val="00E714D0"/>
    <w:rsid w:val="00E72749"/>
    <w:rsid w:val="00E72D49"/>
    <w:rsid w:val="00E72DAA"/>
    <w:rsid w:val="00E7437E"/>
    <w:rsid w:val="00E74A9E"/>
    <w:rsid w:val="00E75262"/>
    <w:rsid w:val="00E7674E"/>
    <w:rsid w:val="00E76E83"/>
    <w:rsid w:val="00E827C6"/>
    <w:rsid w:val="00E82D18"/>
    <w:rsid w:val="00E831DA"/>
    <w:rsid w:val="00E844AB"/>
    <w:rsid w:val="00E8611A"/>
    <w:rsid w:val="00E871DC"/>
    <w:rsid w:val="00E90745"/>
    <w:rsid w:val="00E90A17"/>
    <w:rsid w:val="00E90A49"/>
    <w:rsid w:val="00E92D68"/>
    <w:rsid w:val="00E930E8"/>
    <w:rsid w:val="00E94089"/>
    <w:rsid w:val="00E94197"/>
    <w:rsid w:val="00E955FF"/>
    <w:rsid w:val="00E95897"/>
    <w:rsid w:val="00E97881"/>
    <w:rsid w:val="00E97D19"/>
    <w:rsid w:val="00EA0622"/>
    <w:rsid w:val="00EA06D4"/>
    <w:rsid w:val="00EA1520"/>
    <w:rsid w:val="00EA1C68"/>
    <w:rsid w:val="00EA2A53"/>
    <w:rsid w:val="00EA32C3"/>
    <w:rsid w:val="00EA33F7"/>
    <w:rsid w:val="00EA385C"/>
    <w:rsid w:val="00EA3C47"/>
    <w:rsid w:val="00EA4A4C"/>
    <w:rsid w:val="00EA4EA1"/>
    <w:rsid w:val="00EA52E4"/>
    <w:rsid w:val="00EA5355"/>
    <w:rsid w:val="00EA698E"/>
    <w:rsid w:val="00EA740D"/>
    <w:rsid w:val="00EA7968"/>
    <w:rsid w:val="00EA7B1D"/>
    <w:rsid w:val="00EB0D91"/>
    <w:rsid w:val="00EB1A75"/>
    <w:rsid w:val="00EB268A"/>
    <w:rsid w:val="00EB31D9"/>
    <w:rsid w:val="00EB3525"/>
    <w:rsid w:val="00EB3A3C"/>
    <w:rsid w:val="00EB47DE"/>
    <w:rsid w:val="00EB4B84"/>
    <w:rsid w:val="00EB594F"/>
    <w:rsid w:val="00EB59D5"/>
    <w:rsid w:val="00EB754E"/>
    <w:rsid w:val="00EB7A9F"/>
    <w:rsid w:val="00EC1003"/>
    <w:rsid w:val="00EC1859"/>
    <w:rsid w:val="00EC20E3"/>
    <w:rsid w:val="00EC2118"/>
    <w:rsid w:val="00EC268B"/>
    <w:rsid w:val="00EC2827"/>
    <w:rsid w:val="00EC2A1C"/>
    <w:rsid w:val="00EC4DEA"/>
    <w:rsid w:val="00EC57AE"/>
    <w:rsid w:val="00EC58E7"/>
    <w:rsid w:val="00EC5974"/>
    <w:rsid w:val="00EC5BA9"/>
    <w:rsid w:val="00EC6B5A"/>
    <w:rsid w:val="00EC76A6"/>
    <w:rsid w:val="00EC79C8"/>
    <w:rsid w:val="00EC7A67"/>
    <w:rsid w:val="00EC7F4A"/>
    <w:rsid w:val="00ED0731"/>
    <w:rsid w:val="00ED0785"/>
    <w:rsid w:val="00ED0A39"/>
    <w:rsid w:val="00ED0F54"/>
    <w:rsid w:val="00ED1208"/>
    <w:rsid w:val="00ED13C1"/>
    <w:rsid w:val="00ED1A87"/>
    <w:rsid w:val="00ED2838"/>
    <w:rsid w:val="00ED3B05"/>
    <w:rsid w:val="00ED3E10"/>
    <w:rsid w:val="00ED414E"/>
    <w:rsid w:val="00ED44BC"/>
    <w:rsid w:val="00ED46DE"/>
    <w:rsid w:val="00ED4CAD"/>
    <w:rsid w:val="00ED7C31"/>
    <w:rsid w:val="00EE0B24"/>
    <w:rsid w:val="00EE0FFA"/>
    <w:rsid w:val="00EE1029"/>
    <w:rsid w:val="00EE1E7A"/>
    <w:rsid w:val="00EE2273"/>
    <w:rsid w:val="00EE295B"/>
    <w:rsid w:val="00EE32AA"/>
    <w:rsid w:val="00EE416C"/>
    <w:rsid w:val="00EE41DB"/>
    <w:rsid w:val="00EE43F7"/>
    <w:rsid w:val="00EE5983"/>
    <w:rsid w:val="00EE59B3"/>
    <w:rsid w:val="00EF00AA"/>
    <w:rsid w:val="00EF0E1F"/>
    <w:rsid w:val="00EF0FC4"/>
    <w:rsid w:val="00EF1496"/>
    <w:rsid w:val="00EF1E6F"/>
    <w:rsid w:val="00EF2C4C"/>
    <w:rsid w:val="00EF3742"/>
    <w:rsid w:val="00EF3FF6"/>
    <w:rsid w:val="00EF4996"/>
    <w:rsid w:val="00EF52BF"/>
    <w:rsid w:val="00EF5AF6"/>
    <w:rsid w:val="00EF5E12"/>
    <w:rsid w:val="00EF6AA1"/>
    <w:rsid w:val="00EF7243"/>
    <w:rsid w:val="00EF731D"/>
    <w:rsid w:val="00EF7800"/>
    <w:rsid w:val="00EF7B3E"/>
    <w:rsid w:val="00EF7D15"/>
    <w:rsid w:val="00F01E78"/>
    <w:rsid w:val="00F033CC"/>
    <w:rsid w:val="00F038E2"/>
    <w:rsid w:val="00F03B44"/>
    <w:rsid w:val="00F03FD4"/>
    <w:rsid w:val="00F04293"/>
    <w:rsid w:val="00F04602"/>
    <w:rsid w:val="00F050E6"/>
    <w:rsid w:val="00F052AA"/>
    <w:rsid w:val="00F0546E"/>
    <w:rsid w:val="00F0595D"/>
    <w:rsid w:val="00F06684"/>
    <w:rsid w:val="00F07129"/>
    <w:rsid w:val="00F0745B"/>
    <w:rsid w:val="00F10FFB"/>
    <w:rsid w:val="00F11ECD"/>
    <w:rsid w:val="00F128D3"/>
    <w:rsid w:val="00F135AE"/>
    <w:rsid w:val="00F15221"/>
    <w:rsid w:val="00F16750"/>
    <w:rsid w:val="00F16DF8"/>
    <w:rsid w:val="00F1781B"/>
    <w:rsid w:val="00F203A8"/>
    <w:rsid w:val="00F20584"/>
    <w:rsid w:val="00F20805"/>
    <w:rsid w:val="00F20D1C"/>
    <w:rsid w:val="00F21B70"/>
    <w:rsid w:val="00F21BD7"/>
    <w:rsid w:val="00F23828"/>
    <w:rsid w:val="00F2466F"/>
    <w:rsid w:val="00F24F3C"/>
    <w:rsid w:val="00F25D14"/>
    <w:rsid w:val="00F27001"/>
    <w:rsid w:val="00F305D7"/>
    <w:rsid w:val="00F31904"/>
    <w:rsid w:val="00F329FC"/>
    <w:rsid w:val="00F330AF"/>
    <w:rsid w:val="00F33752"/>
    <w:rsid w:val="00F338E2"/>
    <w:rsid w:val="00F3500C"/>
    <w:rsid w:val="00F35A81"/>
    <w:rsid w:val="00F36029"/>
    <w:rsid w:val="00F36806"/>
    <w:rsid w:val="00F36848"/>
    <w:rsid w:val="00F36996"/>
    <w:rsid w:val="00F37D82"/>
    <w:rsid w:val="00F37E9C"/>
    <w:rsid w:val="00F4004F"/>
    <w:rsid w:val="00F40597"/>
    <w:rsid w:val="00F40666"/>
    <w:rsid w:val="00F40E15"/>
    <w:rsid w:val="00F4104F"/>
    <w:rsid w:val="00F4176E"/>
    <w:rsid w:val="00F41C5A"/>
    <w:rsid w:val="00F41CFA"/>
    <w:rsid w:val="00F43A1B"/>
    <w:rsid w:val="00F443A3"/>
    <w:rsid w:val="00F44B7C"/>
    <w:rsid w:val="00F45AED"/>
    <w:rsid w:val="00F4633D"/>
    <w:rsid w:val="00F46A9B"/>
    <w:rsid w:val="00F5030D"/>
    <w:rsid w:val="00F507B2"/>
    <w:rsid w:val="00F510A8"/>
    <w:rsid w:val="00F514AF"/>
    <w:rsid w:val="00F54964"/>
    <w:rsid w:val="00F55019"/>
    <w:rsid w:val="00F55817"/>
    <w:rsid w:val="00F55C77"/>
    <w:rsid w:val="00F56573"/>
    <w:rsid w:val="00F56834"/>
    <w:rsid w:val="00F56BCC"/>
    <w:rsid w:val="00F56D2B"/>
    <w:rsid w:val="00F5741A"/>
    <w:rsid w:val="00F5754B"/>
    <w:rsid w:val="00F579D6"/>
    <w:rsid w:val="00F6096E"/>
    <w:rsid w:val="00F6169D"/>
    <w:rsid w:val="00F61988"/>
    <w:rsid w:val="00F61FE0"/>
    <w:rsid w:val="00F62498"/>
    <w:rsid w:val="00F637EF"/>
    <w:rsid w:val="00F638AE"/>
    <w:rsid w:val="00F63DCB"/>
    <w:rsid w:val="00F649C2"/>
    <w:rsid w:val="00F64C1B"/>
    <w:rsid w:val="00F6596E"/>
    <w:rsid w:val="00F65B2F"/>
    <w:rsid w:val="00F66055"/>
    <w:rsid w:val="00F66B2D"/>
    <w:rsid w:val="00F67360"/>
    <w:rsid w:val="00F7022E"/>
    <w:rsid w:val="00F72D45"/>
    <w:rsid w:val="00F73D0D"/>
    <w:rsid w:val="00F73DF8"/>
    <w:rsid w:val="00F74D7B"/>
    <w:rsid w:val="00F75D99"/>
    <w:rsid w:val="00F767E1"/>
    <w:rsid w:val="00F80743"/>
    <w:rsid w:val="00F813BF"/>
    <w:rsid w:val="00F82422"/>
    <w:rsid w:val="00F82FAE"/>
    <w:rsid w:val="00F831C5"/>
    <w:rsid w:val="00F83712"/>
    <w:rsid w:val="00F83E59"/>
    <w:rsid w:val="00F843AF"/>
    <w:rsid w:val="00F84449"/>
    <w:rsid w:val="00F844CE"/>
    <w:rsid w:val="00F84BE2"/>
    <w:rsid w:val="00F8575E"/>
    <w:rsid w:val="00F86AD0"/>
    <w:rsid w:val="00F8776A"/>
    <w:rsid w:val="00F87E6B"/>
    <w:rsid w:val="00F87F19"/>
    <w:rsid w:val="00F90053"/>
    <w:rsid w:val="00F90109"/>
    <w:rsid w:val="00F90C92"/>
    <w:rsid w:val="00F92AA9"/>
    <w:rsid w:val="00F93711"/>
    <w:rsid w:val="00F93BDF"/>
    <w:rsid w:val="00F94D42"/>
    <w:rsid w:val="00F94E42"/>
    <w:rsid w:val="00F95066"/>
    <w:rsid w:val="00F96E82"/>
    <w:rsid w:val="00F96E98"/>
    <w:rsid w:val="00F97870"/>
    <w:rsid w:val="00F97FD4"/>
    <w:rsid w:val="00FA0791"/>
    <w:rsid w:val="00FA1B7A"/>
    <w:rsid w:val="00FA2B7A"/>
    <w:rsid w:val="00FA318E"/>
    <w:rsid w:val="00FA456F"/>
    <w:rsid w:val="00FA4D37"/>
    <w:rsid w:val="00FA5041"/>
    <w:rsid w:val="00FA5AF8"/>
    <w:rsid w:val="00FA5E62"/>
    <w:rsid w:val="00FA66CC"/>
    <w:rsid w:val="00FA69A9"/>
    <w:rsid w:val="00FA6C45"/>
    <w:rsid w:val="00FA6DB5"/>
    <w:rsid w:val="00FA79C1"/>
    <w:rsid w:val="00FB096B"/>
    <w:rsid w:val="00FB0E59"/>
    <w:rsid w:val="00FB0ED9"/>
    <w:rsid w:val="00FB1203"/>
    <w:rsid w:val="00FB13CC"/>
    <w:rsid w:val="00FB1C42"/>
    <w:rsid w:val="00FB3E0C"/>
    <w:rsid w:val="00FB40D8"/>
    <w:rsid w:val="00FB4266"/>
    <w:rsid w:val="00FB428A"/>
    <w:rsid w:val="00FB47AE"/>
    <w:rsid w:val="00FB4C75"/>
    <w:rsid w:val="00FB50F6"/>
    <w:rsid w:val="00FB5489"/>
    <w:rsid w:val="00FB6C34"/>
    <w:rsid w:val="00FB7618"/>
    <w:rsid w:val="00FB7A8B"/>
    <w:rsid w:val="00FB7C0E"/>
    <w:rsid w:val="00FC032C"/>
    <w:rsid w:val="00FC1120"/>
    <w:rsid w:val="00FC1EA0"/>
    <w:rsid w:val="00FC2300"/>
    <w:rsid w:val="00FC2A9D"/>
    <w:rsid w:val="00FC32CB"/>
    <w:rsid w:val="00FC35A8"/>
    <w:rsid w:val="00FC3E22"/>
    <w:rsid w:val="00FC4E64"/>
    <w:rsid w:val="00FC50F6"/>
    <w:rsid w:val="00FC5742"/>
    <w:rsid w:val="00FC5AB6"/>
    <w:rsid w:val="00FD240F"/>
    <w:rsid w:val="00FD3EAF"/>
    <w:rsid w:val="00FD3FEC"/>
    <w:rsid w:val="00FD4573"/>
    <w:rsid w:val="00FD4EA3"/>
    <w:rsid w:val="00FD506C"/>
    <w:rsid w:val="00FD514E"/>
    <w:rsid w:val="00FE0C92"/>
    <w:rsid w:val="00FE0EC5"/>
    <w:rsid w:val="00FE1636"/>
    <w:rsid w:val="00FE1D73"/>
    <w:rsid w:val="00FE1E3D"/>
    <w:rsid w:val="00FE30E6"/>
    <w:rsid w:val="00FE3CA6"/>
    <w:rsid w:val="00FE3EFC"/>
    <w:rsid w:val="00FE4646"/>
    <w:rsid w:val="00FE4754"/>
    <w:rsid w:val="00FE48F8"/>
    <w:rsid w:val="00FE4F1F"/>
    <w:rsid w:val="00FE593A"/>
    <w:rsid w:val="00FE5A0D"/>
    <w:rsid w:val="00FE5A5A"/>
    <w:rsid w:val="00FE6186"/>
    <w:rsid w:val="00FE6A41"/>
    <w:rsid w:val="00FE72ED"/>
    <w:rsid w:val="00FF0695"/>
    <w:rsid w:val="00FF09DD"/>
    <w:rsid w:val="00FF260A"/>
    <w:rsid w:val="00FF29DE"/>
    <w:rsid w:val="00FF331A"/>
    <w:rsid w:val="00FF3761"/>
    <w:rsid w:val="00FF3C81"/>
    <w:rsid w:val="00FF55AF"/>
    <w:rsid w:val="00FF5E89"/>
    <w:rsid w:val="00FF662E"/>
    <w:rsid w:val="00FF6763"/>
    <w:rsid w:val="00FF6C2D"/>
    <w:rsid w:val="00FF708F"/>
    <w:rsid w:val="00FF7B64"/>
    <w:rsid w:val="1E8486C0"/>
    <w:rsid w:val="2C734C6F"/>
    <w:rsid w:val="2D735CA3"/>
    <w:rsid w:val="3E9DC27D"/>
    <w:rsid w:val="460010BB"/>
    <w:rsid w:val="4A0BE887"/>
    <w:rsid w:val="4F2C0FBD"/>
    <w:rsid w:val="61F71284"/>
    <w:rsid w:val="6ED311D8"/>
    <w:rsid w:val="761E75A0"/>
    <w:rsid w:val="7655BC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4083B"/>
  <w15:docId w15:val="{BE4707DC-78AE-4B58-8889-5565D7EB5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A56098"/>
    <w:pPr>
      <w:keepNext/>
      <w:keepLines/>
      <w:numPr>
        <w:ilvl w:val="2"/>
        <w:numId w:val="1"/>
      </w:numPr>
      <w:spacing w:before="200" w:after="240"/>
      <w:outlineLvl w:val="2"/>
    </w:pPr>
    <w:rPr>
      <w:rFonts w:eastAsiaTheme="majorEastAsia" w:cstheme="majorBidi"/>
      <w:b/>
      <w:bCs/>
      <w:color w:val="4F81BD" w:themeColor="accent1"/>
      <w:sz w:val="24"/>
      <w:szCs w:val="24"/>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nhideWhenUsed/>
    <w:rsid w:val="003A6FDE"/>
    <w:pPr>
      <w:tabs>
        <w:tab w:val="center" w:pos="4252"/>
        <w:tab w:val="right" w:pos="8504"/>
      </w:tabs>
      <w:spacing w:line="240" w:lineRule="auto"/>
    </w:pPr>
  </w:style>
  <w:style w:type="character" w:customStyle="1" w:styleId="CabealhoChar">
    <w:name w:val="Cabeçalho Char"/>
    <w:aliases w:val="hd Char,he Char"/>
    <w:basedOn w:val="Fontepargpadro"/>
    <w:link w:val="Cabealho"/>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uiPriority w:val="99"/>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99"/>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A56098"/>
    <w:rPr>
      <w:rFonts w:eastAsiaTheme="majorEastAsia" w:cstheme="majorBidi"/>
      <w:b/>
      <w:bCs/>
      <w:color w:val="4F81BD" w:themeColor="accent1"/>
      <w:sz w:val="24"/>
      <w:szCs w:val="24"/>
    </w:rPr>
  </w:style>
  <w:style w:type="paragraph" w:styleId="Corpodetexto">
    <w:name w:val="Body Text"/>
    <w:basedOn w:val="Normal"/>
    <w:link w:val="CorpodetextoChar"/>
    <w:uiPriority w:val="99"/>
    <w:unhideWhenUsed/>
    <w:rsid w:val="00931999"/>
    <w:pPr>
      <w:spacing w:after="120"/>
    </w:pPr>
  </w:style>
  <w:style w:type="character" w:customStyle="1" w:styleId="CorpodetextoChar">
    <w:name w:val="Corpo de texto Char"/>
    <w:basedOn w:val="Fontepargpadro"/>
    <w:link w:val="Corpodetexto"/>
    <w:uiPriority w:val="99"/>
    <w:qFormat/>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B3414B"/>
    <w:pPr>
      <w:tabs>
        <w:tab w:val="left" w:pos="440"/>
        <w:tab w:val="right" w:leader="dot" w:pos="8494"/>
      </w:tabs>
      <w:spacing w:line="240" w:lineRule="auto"/>
    </w:pPr>
    <w:rPr>
      <w:rFonts w:cstheme="minorHAnsi"/>
      <w:b/>
      <w:bCs/>
      <w:caps/>
      <w:sz w:val="20"/>
      <w:szCs w:val="20"/>
    </w:rPr>
  </w:style>
  <w:style w:type="paragraph" w:styleId="Sumrio2">
    <w:name w:val="toc 2"/>
    <w:basedOn w:val="Normal"/>
    <w:next w:val="Normal"/>
    <w:autoRedefine/>
    <w:uiPriority w:val="39"/>
    <w:unhideWhenUsed/>
    <w:rsid w:val="00B3414B"/>
    <w:pPr>
      <w:tabs>
        <w:tab w:val="left" w:pos="880"/>
        <w:tab w:val="right" w:leader="dot" w:pos="8494"/>
      </w:tabs>
      <w:spacing w:line="16" w:lineRule="atLeast"/>
      <w:ind w:left="221"/>
    </w:pPr>
    <w:rPr>
      <w:rFonts w:cstheme="minorHAnsi"/>
      <w:smallCaps/>
      <w:sz w:val="20"/>
      <w:szCs w:val="20"/>
    </w:rPr>
  </w:style>
  <w:style w:type="paragraph" w:styleId="Sumrio3">
    <w:name w:val="toc 3"/>
    <w:basedOn w:val="Normal"/>
    <w:next w:val="Normal"/>
    <w:autoRedefine/>
    <w:uiPriority w:val="39"/>
    <w:unhideWhenUsed/>
    <w:rsid w:val="002C6FC7"/>
    <w:pPr>
      <w:ind w:left="440"/>
    </w:pPr>
    <w:rPr>
      <w:rFonts w:cstheme="minorHAnsi"/>
      <w:i/>
      <w:iCs/>
      <w:sz w:val="20"/>
      <w:szCs w:val="20"/>
    </w:r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99"/>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unhideWhenUsed/>
    <w:rsid w:val="0082422F"/>
    <w:rPr>
      <w:sz w:val="16"/>
      <w:szCs w:val="16"/>
    </w:rPr>
  </w:style>
  <w:style w:type="paragraph" w:styleId="Textodecomentrio">
    <w:name w:val="annotation text"/>
    <w:aliases w:val="Comment Text Char"/>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aliases w:val="Comment Text Char Char"/>
    <w:basedOn w:val="Fontepargpadro"/>
    <w:link w:val="Textodecomentrio"/>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uiPriority w:val="99"/>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uiPriority w:val="99"/>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Cabealhoencabezado">
    <w:name w:val="Cabeçalho.encabezado"/>
    <w:basedOn w:val="Normal"/>
    <w:uiPriority w:val="99"/>
    <w:rsid w:val="0027282D"/>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27282D"/>
    <w:rPr>
      <w:rFonts w:cs="Times New Roman"/>
    </w:rPr>
  </w:style>
  <w:style w:type="paragraph" w:customStyle="1" w:styleId="reservado3">
    <w:name w:val="reservado3"/>
    <w:basedOn w:val="Normal"/>
    <w:uiPriority w:val="99"/>
    <w:rsid w:val="0027282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27282D"/>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27282D"/>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27282D"/>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27282D"/>
    <w:rPr>
      <w:rFonts w:ascii="Tahoma" w:eastAsia="Times New Roman" w:hAnsi="Tahoma" w:cs="Tahoma"/>
      <w:sz w:val="16"/>
      <w:szCs w:val="16"/>
    </w:rPr>
  </w:style>
  <w:style w:type="character" w:customStyle="1" w:styleId="messagebody">
    <w:name w:val="messagebody"/>
    <w:basedOn w:val="Fontepargpadro"/>
    <w:uiPriority w:val="99"/>
    <w:rsid w:val="0027282D"/>
    <w:rPr>
      <w:rFonts w:cs="Times New Roman"/>
    </w:rPr>
  </w:style>
  <w:style w:type="character" w:customStyle="1" w:styleId="object">
    <w:name w:val="object"/>
    <w:basedOn w:val="Fontepargpadro"/>
    <w:rsid w:val="0027282D"/>
    <w:rPr>
      <w:rFonts w:cs="Times New Roman"/>
    </w:rPr>
  </w:style>
  <w:style w:type="paragraph" w:styleId="Lista2">
    <w:name w:val="List 2"/>
    <w:basedOn w:val="Lista"/>
    <w:uiPriority w:val="99"/>
    <w:unhideWhenUsed/>
    <w:rsid w:val="0027282D"/>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27282D"/>
    <w:pPr>
      <w:spacing w:line="240" w:lineRule="auto"/>
      <w:ind w:left="283" w:hanging="283"/>
      <w:contextualSpacing/>
    </w:pPr>
    <w:rPr>
      <w:rFonts w:ascii="Times New Roman" w:eastAsia="Times New Roman" w:hAnsi="Times New Roman" w:cs="Times New Roman"/>
      <w:sz w:val="24"/>
      <w:szCs w:val="24"/>
    </w:rPr>
  </w:style>
  <w:style w:type="paragraph" w:customStyle="1" w:styleId="Default">
    <w:name w:val="Default"/>
    <w:rsid w:val="0027282D"/>
    <w:pPr>
      <w:autoSpaceDE w:val="0"/>
      <w:autoSpaceDN w:val="0"/>
      <w:adjustRightInd w:val="0"/>
      <w:spacing w:after="0" w:line="240" w:lineRule="auto"/>
    </w:pPr>
    <w:rPr>
      <w:rFonts w:ascii="Arial" w:eastAsia="Batang" w:hAnsi="Arial" w:cs="Arial"/>
      <w:color w:val="000000"/>
      <w:sz w:val="24"/>
      <w:szCs w:val="24"/>
      <w:lang w:val="en-US" w:eastAsia="ja-JP"/>
    </w:rPr>
  </w:style>
  <w:style w:type="paragraph" w:styleId="TextosemFormatao">
    <w:name w:val="Plain Text"/>
    <w:basedOn w:val="Normal"/>
    <w:link w:val="TextosemFormataoChar"/>
    <w:uiPriority w:val="99"/>
    <w:rsid w:val="0027282D"/>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7282D"/>
    <w:rPr>
      <w:rFonts w:ascii="Courier New" w:eastAsia="Times New Roman" w:hAnsi="Courier New" w:cs="Times New Roman"/>
      <w:sz w:val="20"/>
      <w:szCs w:val="20"/>
    </w:rPr>
  </w:style>
  <w:style w:type="character" w:styleId="TtulodoLivro">
    <w:name w:val="Book Title"/>
    <w:basedOn w:val="Fontepargpadro"/>
    <w:uiPriority w:val="33"/>
    <w:qFormat/>
    <w:rsid w:val="0027282D"/>
    <w:rPr>
      <w:b/>
      <w:bCs/>
      <w:i/>
      <w:iCs/>
      <w:spacing w:val="5"/>
    </w:rPr>
  </w:style>
  <w:style w:type="paragraph" w:customStyle="1" w:styleId="EstiloTtulo1Justificado">
    <w:name w:val="Estilo Título 1 + Justificado"/>
    <w:basedOn w:val="Ttulo1"/>
    <w:uiPriority w:val="99"/>
    <w:rsid w:val="0027282D"/>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27282D"/>
    <w:pPr>
      <w:keepLines w:val="0"/>
      <w:numPr>
        <w:numId w:val="7"/>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27282D"/>
    <w:pPr>
      <w:keepLines w:val="0"/>
      <w:numPr>
        <w:numId w:val="7"/>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27282D"/>
    <w:pPr>
      <w:spacing w:after="0" w:line="240" w:lineRule="auto"/>
    </w:pPr>
    <w:rPr>
      <w:rFonts w:ascii="CG Times" w:eastAsia="Times New Roman" w:hAnsi="CG Times" w:cs="Times New Roman"/>
      <w:color w:val="000000"/>
      <w:sz w:val="24"/>
      <w:szCs w:val="20"/>
      <w:lang w:val="en-US"/>
    </w:rPr>
  </w:style>
  <w:style w:type="paragraph" w:customStyle="1" w:styleId="CartilhaRecuoitem2">
    <w:name w:val="#Cartilha_Recuo_item2"/>
    <w:basedOn w:val="Normal"/>
    <w:uiPriority w:val="99"/>
    <w:qFormat/>
    <w:rsid w:val="00870671"/>
    <w:pPr>
      <w:spacing w:after="120" w:line="240" w:lineRule="auto"/>
      <w:ind w:left="993"/>
      <w:jc w:val="both"/>
    </w:pPr>
    <w:rPr>
      <w:rFonts w:ascii="Times New Roman" w:eastAsia="Times New Roman" w:hAnsi="Times New Roman" w:cs="Times New Roman"/>
      <w:sz w:val="24"/>
      <w:szCs w:val="24"/>
      <w:lang w:eastAsia="en-US"/>
    </w:rPr>
  </w:style>
  <w:style w:type="table" w:styleId="GradeMdia2-nfase1">
    <w:name w:val="Medium Grid 2 Accent 1"/>
    <w:basedOn w:val="Tabelanormal"/>
    <w:uiPriority w:val="68"/>
    <w:rsid w:val="00A856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
    <w:name w:val="TableGrid"/>
    <w:rsid w:val="004F421F"/>
    <w:pPr>
      <w:spacing w:after="0" w:line="240" w:lineRule="auto"/>
    </w:pPr>
    <w:rPr>
      <w:rFonts w:eastAsiaTheme="minorEastAsia"/>
    </w:rPr>
    <w:tblPr>
      <w:tblCellMar>
        <w:top w:w="0" w:type="dxa"/>
        <w:left w:w="0" w:type="dxa"/>
        <w:bottom w:w="0" w:type="dxa"/>
        <w:right w:w="0" w:type="dxa"/>
      </w:tblCellMar>
    </w:tblPr>
  </w:style>
  <w:style w:type="character" w:customStyle="1" w:styleId="CabealhoChar1">
    <w:name w:val="Cabeçalho Char1"/>
    <w:aliases w:val="hd Char1,he Char1"/>
    <w:basedOn w:val="Fontepargpadro"/>
    <w:semiHidden/>
    <w:rsid w:val="004F421F"/>
  </w:style>
  <w:style w:type="character" w:customStyle="1" w:styleId="TextodebaloChar1">
    <w:name w:val="Texto de balão Char1"/>
    <w:basedOn w:val="Fontepargpadro"/>
    <w:uiPriority w:val="99"/>
    <w:semiHidden/>
    <w:rsid w:val="004F421F"/>
    <w:rPr>
      <w:rFonts w:ascii="Tahoma" w:hAnsi="Tahoma" w:cs="Tahoma" w:hint="default"/>
      <w:sz w:val="16"/>
      <w:szCs w:val="16"/>
    </w:rPr>
  </w:style>
  <w:style w:type="character" w:customStyle="1" w:styleId="TextodecomentrioChar1">
    <w:name w:val="Texto de comentário Char1"/>
    <w:basedOn w:val="Fontepargpadro"/>
    <w:uiPriority w:val="99"/>
    <w:semiHidden/>
    <w:rsid w:val="004F421F"/>
    <w:rPr>
      <w:sz w:val="20"/>
      <w:szCs w:val="20"/>
    </w:rPr>
  </w:style>
  <w:style w:type="character" w:customStyle="1" w:styleId="AssuntodocomentrioChar1">
    <w:name w:val="Assunto do comentário Char1"/>
    <w:basedOn w:val="TextodecomentrioChar1"/>
    <w:uiPriority w:val="99"/>
    <w:semiHidden/>
    <w:rsid w:val="004F421F"/>
    <w:rPr>
      <w:b/>
      <w:bCs/>
      <w:sz w:val="20"/>
      <w:szCs w:val="20"/>
    </w:rPr>
  </w:style>
  <w:style w:type="character" w:customStyle="1" w:styleId="Primeirorecuodecorpodetexto2Char1">
    <w:name w:val="Primeiro recuo de corpo de texto 2 Char1"/>
    <w:basedOn w:val="RecuodecorpodetextoChar"/>
    <w:uiPriority w:val="99"/>
    <w:semiHidden/>
    <w:rsid w:val="004F421F"/>
    <w:rPr>
      <w:rFonts w:ascii="Bookman Old Style" w:eastAsia="Times New Roman" w:hAnsi="Bookman Old Style" w:cs="Times New Roman" w:hint="default"/>
      <w:sz w:val="24"/>
      <w:szCs w:val="24"/>
      <w:lang w:eastAsia="pt-BR"/>
    </w:rPr>
  </w:style>
  <w:style w:type="paragraph" w:customStyle="1" w:styleId="Nivel11">
    <w:name w:val="Nivel 1.1"/>
    <w:basedOn w:val="Nivel2"/>
    <w:link w:val="Nivel11Char"/>
    <w:qFormat/>
    <w:rsid w:val="004F78BA"/>
    <w:pPr>
      <w:ind w:left="2134"/>
    </w:pPr>
    <w:rPr>
      <w:b w:val="0"/>
    </w:rPr>
  </w:style>
  <w:style w:type="paragraph" w:customStyle="1" w:styleId="Nivel1">
    <w:name w:val="Nivel 1"/>
    <w:basedOn w:val="Normal"/>
    <w:link w:val="Nivel1Char"/>
    <w:qFormat/>
    <w:rsid w:val="004F78BA"/>
    <w:pPr>
      <w:keepNext/>
      <w:numPr>
        <w:numId w:val="8"/>
      </w:numPr>
      <w:autoSpaceDE w:val="0"/>
      <w:autoSpaceDN w:val="0"/>
      <w:adjustRightInd w:val="0"/>
      <w:spacing w:before="360" w:after="120" w:line="240" w:lineRule="auto"/>
    </w:pPr>
    <w:rPr>
      <w:rFonts w:ascii="Calibri" w:hAnsi="Calibri" w:cs="Calibri"/>
      <w:b/>
      <w:bCs/>
      <w:color w:val="000000"/>
      <w:lang w:eastAsia="en-US"/>
    </w:rPr>
  </w:style>
  <w:style w:type="character" w:customStyle="1" w:styleId="Nivel11Char">
    <w:name w:val="Nivel 1.1 Char"/>
    <w:link w:val="Nivel11"/>
    <w:rsid w:val="004F78BA"/>
    <w:rPr>
      <w:rFonts w:ascii="Calibri" w:hAnsi="Calibri" w:cs="Calibri"/>
      <w:bCs/>
      <w:color w:val="000000"/>
      <w:lang w:eastAsia="en-US"/>
    </w:rPr>
  </w:style>
  <w:style w:type="paragraph" w:customStyle="1" w:styleId="Nivel2">
    <w:name w:val="Nivel 2"/>
    <w:basedOn w:val="Normal"/>
    <w:qFormat/>
    <w:rsid w:val="004F78BA"/>
    <w:pPr>
      <w:numPr>
        <w:ilvl w:val="1"/>
        <w:numId w:val="8"/>
      </w:numPr>
      <w:autoSpaceDE w:val="0"/>
      <w:autoSpaceDN w:val="0"/>
      <w:adjustRightInd w:val="0"/>
      <w:spacing w:before="120" w:line="240" w:lineRule="auto"/>
      <w:ind w:left="792"/>
      <w:jc w:val="both"/>
    </w:pPr>
    <w:rPr>
      <w:rFonts w:ascii="Calibri" w:hAnsi="Calibri" w:cs="Calibri"/>
      <w:b/>
      <w:bCs/>
      <w:color w:val="000000"/>
      <w:lang w:eastAsia="en-US"/>
    </w:rPr>
  </w:style>
  <w:style w:type="paragraph" w:customStyle="1" w:styleId="Nivel21">
    <w:name w:val="Nivel 2.1"/>
    <w:basedOn w:val="Normal"/>
    <w:qFormat/>
    <w:rsid w:val="004F78BA"/>
    <w:pPr>
      <w:numPr>
        <w:ilvl w:val="2"/>
        <w:numId w:val="8"/>
      </w:numPr>
      <w:tabs>
        <w:tab w:val="num" w:pos="-1"/>
      </w:tabs>
      <w:autoSpaceDE w:val="0"/>
      <w:autoSpaceDN w:val="0"/>
      <w:adjustRightInd w:val="0"/>
      <w:spacing w:before="120" w:after="120" w:line="240" w:lineRule="auto"/>
      <w:ind w:left="720" w:firstLine="0"/>
      <w:jc w:val="both"/>
    </w:pPr>
    <w:rPr>
      <w:rFonts w:ascii="Calibri" w:hAnsi="Calibri" w:cs="Calibri"/>
      <w:color w:val="000000"/>
      <w:lang w:eastAsia="en-US"/>
    </w:rPr>
  </w:style>
  <w:style w:type="paragraph" w:styleId="Sumrio4">
    <w:name w:val="toc 4"/>
    <w:basedOn w:val="Normal"/>
    <w:next w:val="Normal"/>
    <w:autoRedefine/>
    <w:uiPriority w:val="39"/>
    <w:unhideWhenUsed/>
    <w:rsid w:val="005912F6"/>
    <w:pPr>
      <w:ind w:left="660"/>
    </w:pPr>
    <w:rPr>
      <w:rFonts w:cstheme="minorHAnsi"/>
      <w:sz w:val="18"/>
      <w:szCs w:val="18"/>
    </w:rPr>
  </w:style>
  <w:style w:type="paragraph" w:styleId="Sumrio5">
    <w:name w:val="toc 5"/>
    <w:basedOn w:val="Normal"/>
    <w:next w:val="Normal"/>
    <w:autoRedefine/>
    <w:uiPriority w:val="39"/>
    <w:unhideWhenUsed/>
    <w:rsid w:val="005912F6"/>
    <w:pPr>
      <w:ind w:left="880"/>
    </w:pPr>
    <w:rPr>
      <w:rFonts w:cstheme="minorHAnsi"/>
      <w:sz w:val="18"/>
      <w:szCs w:val="18"/>
    </w:rPr>
  </w:style>
  <w:style w:type="paragraph" w:styleId="Sumrio6">
    <w:name w:val="toc 6"/>
    <w:basedOn w:val="Normal"/>
    <w:next w:val="Normal"/>
    <w:autoRedefine/>
    <w:uiPriority w:val="39"/>
    <w:unhideWhenUsed/>
    <w:rsid w:val="005912F6"/>
    <w:pPr>
      <w:ind w:left="1100"/>
    </w:pPr>
    <w:rPr>
      <w:rFonts w:cstheme="minorHAnsi"/>
      <w:sz w:val="18"/>
      <w:szCs w:val="18"/>
    </w:rPr>
  </w:style>
  <w:style w:type="paragraph" w:styleId="Sumrio7">
    <w:name w:val="toc 7"/>
    <w:basedOn w:val="Normal"/>
    <w:next w:val="Normal"/>
    <w:autoRedefine/>
    <w:uiPriority w:val="39"/>
    <w:unhideWhenUsed/>
    <w:rsid w:val="005912F6"/>
    <w:pPr>
      <w:ind w:left="1320"/>
    </w:pPr>
    <w:rPr>
      <w:rFonts w:cstheme="minorHAnsi"/>
      <w:sz w:val="18"/>
      <w:szCs w:val="18"/>
    </w:rPr>
  </w:style>
  <w:style w:type="paragraph" w:styleId="Sumrio8">
    <w:name w:val="toc 8"/>
    <w:basedOn w:val="Normal"/>
    <w:next w:val="Normal"/>
    <w:autoRedefine/>
    <w:uiPriority w:val="39"/>
    <w:unhideWhenUsed/>
    <w:rsid w:val="005912F6"/>
    <w:pPr>
      <w:ind w:left="1540"/>
    </w:pPr>
    <w:rPr>
      <w:rFonts w:cstheme="minorHAnsi"/>
      <w:sz w:val="18"/>
      <w:szCs w:val="18"/>
    </w:rPr>
  </w:style>
  <w:style w:type="paragraph" w:styleId="Sumrio9">
    <w:name w:val="toc 9"/>
    <w:basedOn w:val="Normal"/>
    <w:next w:val="Normal"/>
    <w:autoRedefine/>
    <w:uiPriority w:val="39"/>
    <w:unhideWhenUsed/>
    <w:rsid w:val="005912F6"/>
    <w:pPr>
      <w:ind w:left="1760"/>
    </w:pPr>
    <w:rPr>
      <w:rFonts w:cstheme="minorHAnsi"/>
      <w:sz w:val="18"/>
      <w:szCs w:val="18"/>
    </w:rPr>
  </w:style>
  <w:style w:type="character" w:customStyle="1" w:styleId="Nivel1Char">
    <w:name w:val="Nivel 1 Char"/>
    <w:link w:val="Nivel1"/>
    <w:rsid w:val="00057CAD"/>
    <w:rPr>
      <w:rFonts w:ascii="Calibri" w:hAnsi="Calibri" w:cs="Calibri"/>
      <w:b/>
      <w:bCs/>
      <w:color w:val="000000"/>
      <w:lang w:eastAsia="en-US"/>
    </w:rPr>
  </w:style>
  <w:style w:type="character" w:customStyle="1" w:styleId="WW8Num2z5">
    <w:name w:val="WW8Num2z5"/>
    <w:rsid w:val="00057CAD"/>
  </w:style>
  <w:style w:type="paragraph" w:customStyle="1" w:styleId="Corpodotexto">
    <w:name w:val="Corpo do texto"/>
    <w:basedOn w:val="Normal"/>
    <w:uiPriority w:val="99"/>
    <w:qFormat/>
    <w:rsid w:val="00C8782F"/>
    <w:pPr>
      <w:suppressAutoHyphens/>
      <w:spacing w:after="120" w:line="288" w:lineRule="auto"/>
      <w:ind w:firstLine="1418"/>
      <w:jc w:val="both"/>
    </w:pPr>
    <w:rPr>
      <w:rFonts w:eastAsiaTheme="minorEastAsia"/>
    </w:rPr>
  </w:style>
  <w:style w:type="table" w:customStyle="1" w:styleId="TabeladeLista2-nfase51">
    <w:name w:val="Tabela de Lista 2 - Ênfase 51"/>
    <w:basedOn w:val="Tabelanormal"/>
    <w:uiPriority w:val="47"/>
    <w:rsid w:val="0028294C"/>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denotaderodap">
    <w:name w:val="footnote text"/>
    <w:basedOn w:val="Normal"/>
    <w:link w:val="TextodenotaderodapChar"/>
    <w:uiPriority w:val="99"/>
    <w:semiHidden/>
    <w:unhideWhenUsed/>
    <w:rsid w:val="008C0D68"/>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8C0D68"/>
    <w:rPr>
      <w:sz w:val="20"/>
      <w:szCs w:val="20"/>
    </w:rPr>
  </w:style>
  <w:style w:type="character" w:styleId="Refdenotaderodap">
    <w:name w:val="footnote reference"/>
    <w:basedOn w:val="Fontepargpadro"/>
    <w:uiPriority w:val="99"/>
    <w:semiHidden/>
    <w:unhideWhenUsed/>
    <w:rsid w:val="008C0D68"/>
    <w:rPr>
      <w:vertAlign w:val="superscript"/>
    </w:rPr>
  </w:style>
  <w:style w:type="character" w:customStyle="1" w:styleId="FontStyle54">
    <w:name w:val="Font Style54"/>
    <w:basedOn w:val="Fontepargpadro"/>
    <w:uiPriority w:val="99"/>
    <w:rsid w:val="00A53EB2"/>
    <w:rPr>
      <w:rFonts w:ascii="Times New Roman" w:hAnsi="Times New Roman" w:cs="Times New Roman"/>
      <w:sz w:val="14"/>
      <w:szCs w:val="14"/>
    </w:rPr>
  </w:style>
  <w:style w:type="paragraph" w:customStyle="1" w:styleId="Style4">
    <w:name w:val="Style4"/>
    <w:basedOn w:val="Normal"/>
    <w:uiPriority w:val="99"/>
    <w:rsid w:val="006C2785"/>
    <w:pPr>
      <w:widowControl w:val="0"/>
      <w:autoSpaceDE w:val="0"/>
      <w:autoSpaceDN w:val="0"/>
      <w:adjustRightInd w:val="0"/>
      <w:spacing w:line="178" w:lineRule="exact"/>
      <w:jc w:val="both"/>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59520041">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60435689">
      <w:bodyDiv w:val="1"/>
      <w:marLeft w:val="0"/>
      <w:marRight w:val="0"/>
      <w:marTop w:val="0"/>
      <w:marBottom w:val="0"/>
      <w:divBdr>
        <w:top w:val="none" w:sz="0" w:space="0" w:color="auto"/>
        <w:left w:val="none" w:sz="0" w:space="0" w:color="auto"/>
        <w:bottom w:val="none" w:sz="0" w:space="0" w:color="auto"/>
        <w:right w:val="none" w:sz="0" w:space="0" w:color="auto"/>
      </w:divBdr>
    </w:div>
    <w:div w:id="199055353">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0290314">
      <w:bodyDiv w:val="1"/>
      <w:marLeft w:val="0"/>
      <w:marRight w:val="0"/>
      <w:marTop w:val="0"/>
      <w:marBottom w:val="0"/>
      <w:divBdr>
        <w:top w:val="none" w:sz="0" w:space="0" w:color="auto"/>
        <w:left w:val="none" w:sz="0" w:space="0" w:color="auto"/>
        <w:bottom w:val="none" w:sz="0" w:space="0" w:color="auto"/>
        <w:right w:val="none" w:sz="0" w:space="0" w:color="auto"/>
      </w:divBdr>
    </w:div>
    <w:div w:id="210728453">
      <w:bodyDiv w:val="1"/>
      <w:marLeft w:val="0"/>
      <w:marRight w:val="0"/>
      <w:marTop w:val="0"/>
      <w:marBottom w:val="0"/>
      <w:divBdr>
        <w:top w:val="none" w:sz="0" w:space="0" w:color="auto"/>
        <w:left w:val="none" w:sz="0" w:space="0" w:color="auto"/>
        <w:bottom w:val="none" w:sz="0" w:space="0" w:color="auto"/>
        <w:right w:val="none" w:sz="0" w:space="0" w:color="auto"/>
      </w:divBdr>
    </w:div>
    <w:div w:id="222370239">
      <w:bodyDiv w:val="1"/>
      <w:marLeft w:val="0"/>
      <w:marRight w:val="0"/>
      <w:marTop w:val="0"/>
      <w:marBottom w:val="0"/>
      <w:divBdr>
        <w:top w:val="none" w:sz="0" w:space="0" w:color="auto"/>
        <w:left w:val="none" w:sz="0" w:space="0" w:color="auto"/>
        <w:bottom w:val="none" w:sz="0" w:space="0" w:color="auto"/>
        <w:right w:val="none" w:sz="0" w:space="0" w:color="auto"/>
      </w:divBdr>
    </w:div>
    <w:div w:id="254368065">
      <w:bodyDiv w:val="1"/>
      <w:marLeft w:val="0"/>
      <w:marRight w:val="0"/>
      <w:marTop w:val="0"/>
      <w:marBottom w:val="0"/>
      <w:divBdr>
        <w:top w:val="none" w:sz="0" w:space="0" w:color="auto"/>
        <w:left w:val="none" w:sz="0" w:space="0" w:color="auto"/>
        <w:bottom w:val="none" w:sz="0" w:space="0" w:color="auto"/>
        <w:right w:val="none" w:sz="0" w:space="0" w:color="auto"/>
      </w:divBdr>
    </w:div>
    <w:div w:id="267086193">
      <w:bodyDiv w:val="1"/>
      <w:marLeft w:val="0"/>
      <w:marRight w:val="0"/>
      <w:marTop w:val="0"/>
      <w:marBottom w:val="0"/>
      <w:divBdr>
        <w:top w:val="none" w:sz="0" w:space="0" w:color="auto"/>
        <w:left w:val="none" w:sz="0" w:space="0" w:color="auto"/>
        <w:bottom w:val="none" w:sz="0" w:space="0" w:color="auto"/>
        <w:right w:val="none" w:sz="0" w:space="0" w:color="auto"/>
      </w:divBdr>
    </w:div>
    <w:div w:id="324894174">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84762233">
      <w:bodyDiv w:val="1"/>
      <w:marLeft w:val="0"/>
      <w:marRight w:val="0"/>
      <w:marTop w:val="0"/>
      <w:marBottom w:val="0"/>
      <w:divBdr>
        <w:top w:val="none" w:sz="0" w:space="0" w:color="auto"/>
        <w:left w:val="none" w:sz="0" w:space="0" w:color="auto"/>
        <w:bottom w:val="none" w:sz="0" w:space="0" w:color="auto"/>
        <w:right w:val="none" w:sz="0" w:space="0" w:color="auto"/>
      </w:divBdr>
    </w:div>
    <w:div w:id="441459406">
      <w:bodyDiv w:val="1"/>
      <w:marLeft w:val="0"/>
      <w:marRight w:val="0"/>
      <w:marTop w:val="0"/>
      <w:marBottom w:val="0"/>
      <w:divBdr>
        <w:top w:val="none" w:sz="0" w:space="0" w:color="auto"/>
        <w:left w:val="none" w:sz="0" w:space="0" w:color="auto"/>
        <w:bottom w:val="none" w:sz="0" w:space="0" w:color="auto"/>
        <w:right w:val="none" w:sz="0" w:space="0" w:color="auto"/>
      </w:divBdr>
    </w:div>
    <w:div w:id="540482955">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7760626">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9943125">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37284584">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101687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876620080">
      <w:bodyDiv w:val="1"/>
      <w:marLeft w:val="0"/>
      <w:marRight w:val="0"/>
      <w:marTop w:val="0"/>
      <w:marBottom w:val="0"/>
      <w:divBdr>
        <w:top w:val="none" w:sz="0" w:space="0" w:color="auto"/>
        <w:left w:val="none" w:sz="0" w:space="0" w:color="auto"/>
        <w:bottom w:val="none" w:sz="0" w:space="0" w:color="auto"/>
        <w:right w:val="none" w:sz="0" w:space="0" w:color="auto"/>
      </w:divBdr>
    </w:div>
    <w:div w:id="881746514">
      <w:bodyDiv w:val="1"/>
      <w:marLeft w:val="0"/>
      <w:marRight w:val="0"/>
      <w:marTop w:val="0"/>
      <w:marBottom w:val="0"/>
      <w:divBdr>
        <w:top w:val="none" w:sz="0" w:space="0" w:color="auto"/>
        <w:left w:val="none" w:sz="0" w:space="0" w:color="auto"/>
        <w:bottom w:val="none" w:sz="0" w:space="0" w:color="auto"/>
        <w:right w:val="none" w:sz="0" w:space="0" w:color="auto"/>
      </w:divBdr>
    </w:div>
    <w:div w:id="886335033">
      <w:bodyDiv w:val="1"/>
      <w:marLeft w:val="0"/>
      <w:marRight w:val="0"/>
      <w:marTop w:val="0"/>
      <w:marBottom w:val="0"/>
      <w:divBdr>
        <w:top w:val="none" w:sz="0" w:space="0" w:color="auto"/>
        <w:left w:val="none" w:sz="0" w:space="0" w:color="auto"/>
        <w:bottom w:val="none" w:sz="0" w:space="0" w:color="auto"/>
        <w:right w:val="none" w:sz="0" w:space="0" w:color="auto"/>
      </w:divBdr>
    </w:div>
    <w:div w:id="894047307">
      <w:bodyDiv w:val="1"/>
      <w:marLeft w:val="0"/>
      <w:marRight w:val="0"/>
      <w:marTop w:val="0"/>
      <w:marBottom w:val="0"/>
      <w:divBdr>
        <w:top w:val="none" w:sz="0" w:space="0" w:color="auto"/>
        <w:left w:val="none" w:sz="0" w:space="0" w:color="auto"/>
        <w:bottom w:val="none" w:sz="0" w:space="0" w:color="auto"/>
        <w:right w:val="none" w:sz="0" w:space="0" w:color="auto"/>
      </w:divBdr>
    </w:div>
    <w:div w:id="897013806">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29200744">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70135345">
      <w:bodyDiv w:val="1"/>
      <w:marLeft w:val="0"/>
      <w:marRight w:val="0"/>
      <w:marTop w:val="0"/>
      <w:marBottom w:val="0"/>
      <w:divBdr>
        <w:top w:val="none" w:sz="0" w:space="0" w:color="auto"/>
        <w:left w:val="none" w:sz="0" w:space="0" w:color="auto"/>
        <w:bottom w:val="none" w:sz="0" w:space="0" w:color="auto"/>
        <w:right w:val="none" w:sz="0" w:space="0" w:color="auto"/>
      </w:divBdr>
    </w:div>
    <w:div w:id="990403150">
      <w:bodyDiv w:val="1"/>
      <w:marLeft w:val="0"/>
      <w:marRight w:val="0"/>
      <w:marTop w:val="0"/>
      <w:marBottom w:val="0"/>
      <w:divBdr>
        <w:top w:val="none" w:sz="0" w:space="0" w:color="auto"/>
        <w:left w:val="none" w:sz="0" w:space="0" w:color="auto"/>
        <w:bottom w:val="none" w:sz="0" w:space="0" w:color="auto"/>
        <w:right w:val="none" w:sz="0" w:space="0" w:color="auto"/>
      </w:divBdr>
    </w:div>
    <w:div w:id="999230125">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40278647">
      <w:bodyDiv w:val="1"/>
      <w:marLeft w:val="0"/>
      <w:marRight w:val="0"/>
      <w:marTop w:val="0"/>
      <w:marBottom w:val="0"/>
      <w:divBdr>
        <w:top w:val="none" w:sz="0" w:space="0" w:color="auto"/>
        <w:left w:val="none" w:sz="0" w:space="0" w:color="auto"/>
        <w:bottom w:val="none" w:sz="0" w:space="0" w:color="auto"/>
        <w:right w:val="none" w:sz="0" w:space="0" w:color="auto"/>
      </w:divBdr>
    </w:div>
    <w:div w:id="1145397312">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7572955">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04513219">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399326356">
      <w:bodyDiv w:val="1"/>
      <w:marLeft w:val="0"/>
      <w:marRight w:val="0"/>
      <w:marTop w:val="0"/>
      <w:marBottom w:val="0"/>
      <w:divBdr>
        <w:top w:val="none" w:sz="0" w:space="0" w:color="auto"/>
        <w:left w:val="none" w:sz="0" w:space="0" w:color="auto"/>
        <w:bottom w:val="none" w:sz="0" w:space="0" w:color="auto"/>
        <w:right w:val="none" w:sz="0" w:space="0" w:color="auto"/>
      </w:divBdr>
    </w:div>
    <w:div w:id="145479188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30990107">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515955">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760445134">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28864694">
      <w:bodyDiv w:val="1"/>
      <w:marLeft w:val="0"/>
      <w:marRight w:val="0"/>
      <w:marTop w:val="0"/>
      <w:marBottom w:val="0"/>
      <w:divBdr>
        <w:top w:val="none" w:sz="0" w:space="0" w:color="auto"/>
        <w:left w:val="none" w:sz="0" w:space="0" w:color="auto"/>
        <w:bottom w:val="none" w:sz="0" w:space="0" w:color="auto"/>
        <w:right w:val="none" w:sz="0" w:space="0" w:color="auto"/>
      </w:divBdr>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51526457">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2055346254">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3942125">
      <w:bodyDiv w:val="1"/>
      <w:marLeft w:val="0"/>
      <w:marRight w:val="0"/>
      <w:marTop w:val="0"/>
      <w:marBottom w:val="0"/>
      <w:divBdr>
        <w:top w:val="none" w:sz="0" w:space="0" w:color="auto"/>
        <w:left w:val="none" w:sz="0" w:space="0" w:color="auto"/>
        <w:bottom w:val="none" w:sz="0" w:space="0" w:color="auto"/>
        <w:right w:val="none" w:sz="0" w:space="0" w:color="auto"/>
      </w:divBdr>
    </w:div>
    <w:div w:id="2093968373">
      <w:bodyDiv w:val="1"/>
      <w:marLeft w:val="0"/>
      <w:marRight w:val="0"/>
      <w:marTop w:val="0"/>
      <w:marBottom w:val="0"/>
      <w:divBdr>
        <w:top w:val="none" w:sz="0" w:space="0" w:color="auto"/>
        <w:left w:val="none" w:sz="0" w:space="0" w:color="auto"/>
        <w:bottom w:val="none" w:sz="0" w:space="0" w:color="auto"/>
        <w:right w:val="none" w:sz="0" w:space="0" w:color="auto"/>
      </w:divBdr>
      <w:divsChild>
        <w:div w:id="98526240">
          <w:marLeft w:val="0"/>
          <w:marRight w:val="0"/>
          <w:marTop w:val="0"/>
          <w:marBottom w:val="0"/>
          <w:divBdr>
            <w:top w:val="none" w:sz="0" w:space="0" w:color="auto"/>
            <w:left w:val="none" w:sz="0" w:space="0" w:color="auto"/>
            <w:bottom w:val="none" w:sz="0" w:space="0" w:color="auto"/>
            <w:right w:val="none" w:sz="0" w:space="0" w:color="auto"/>
          </w:divBdr>
        </w:div>
        <w:div w:id="223493593">
          <w:marLeft w:val="0"/>
          <w:marRight w:val="0"/>
          <w:marTop w:val="0"/>
          <w:marBottom w:val="0"/>
          <w:divBdr>
            <w:top w:val="none" w:sz="0" w:space="0" w:color="auto"/>
            <w:left w:val="none" w:sz="0" w:space="0" w:color="auto"/>
            <w:bottom w:val="none" w:sz="0" w:space="0" w:color="auto"/>
            <w:right w:val="none" w:sz="0" w:space="0" w:color="auto"/>
          </w:divBdr>
        </w:div>
        <w:div w:id="610825054">
          <w:marLeft w:val="0"/>
          <w:marRight w:val="0"/>
          <w:marTop w:val="0"/>
          <w:marBottom w:val="0"/>
          <w:divBdr>
            <w:top w:val="none" w:sz="0" w:space="0" w:color="auto"/>
            <w:left w:val="none" w:sz="0" w:space="0" w:color="auto"/>
            <w:bottom w:val="none" w:sz="0" w:space="0" w:color="auto"/>
            <w:right w:val="none" w:sz="0" w:space="0" w:color="auto"/>
          </w:divBdr>
        </w:div>
        <w:div w:id="934751218">
          <w:marLeft w:val="0"/>
          <w:marRight w:val="0"/>
          <w:marTop w:val="0"/>
          <w:marBottom w:val="0"/>
          <w:divBdr>
            <w:top w:val="none" w:sz="0" w:space="0" w:color="auto"/>
            <w:left w:val="none" w:sz="0" w:space="0" w:color="auto"/>
            <w:bottom w:val="none" w:sz="0" w:space="0" w:color="auto"/>
            <w:right w:val="none" w:sz="0" w:space="0" w:color="auto"/>
          </w:divBdr>
        </w:div>
        <w:div w:id="1172184085">
          <w:marLeft w:val="0"/>
          <w:marRight w:val="0"/>
          <w:marTop w:val="0"/>
          <w:marBottom w:val="0"/>
          <w:divBdr>
            <w:top w:val="none" w:sz="0" w:space="0" w:color="auto"/>
            <w:left w:val="none" w:sz="0" w:space="0" w:color="auto"/>
            <w:bottom w:val="none" w:sz="0" w:space="0" w:color="auto"/>
            <w:right w:val="none" w:sz="0" w:space="0" w:color="auto"/>
          </w:divBdr>
        </w:div>
        <w:div w:id="1861579390">
          <w:marLeft w:val="0"/>
          <w:marRight w:val="0"/>
          <w:marTop w:val="0"/>
          <w:marBottom w:val="0"/>
          <w:divBdr>
            <w:top w:val="none" w:sz="0" w:space="0" w:color="auto"/>
            <w:left w:val="none" w:sz="0" w:space="0" w:color="auto"/>
            <w:bottom w:val="none" w:sz="0" w:space="0" w:color="auto"/>
            <w:right w:val="none" w:sz="0" w:space="0" w:color="auto"/>
          </w:divBdr>
        </w:div>
        <w:div w:id="1871336982">
          <w:marLeft w:val="0"/>
          <w:marRight w:val="0"/>
          <w:marTop w:val="0"/>
          <w:marBottom w:val="0"/>
          <w:divBdr>
            <w:top w:val="none" w:sz="0" w:space="0" w:color="auto"/>
            <w:left w:val="none" w:sz="0" w:space="0" w:color="auto"/>
            <w:bottom w:val="none" w:sz="0" w:space="0" w:color="auto"/>
            <w:right w:val="none" w:sz="0" w:space="0" w:color="auto"/>
          </w:divBdr>
        </w:div>
      </w:divsChild>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mailto:danyllo.carvalho@tjmt.jus.br"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thomas.caetano@tjmt.jus.b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nderson.augusto@tjmt.jus.br"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marco.parada@tjmt.jus.br" TargetMode="External"/><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arcelo.moraes@tjmt.jus.br" TargetMode="Externa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C36B802F8CC4650AF83BD9D4895EF74"/>
        <w:category>
          <w:name w:val="Geral"/>
          <w:gallery w:val="placeholder"/>
        </w:category>
        <w:types>
          <w:type w:val="bbPlcHdr"/>
        </w:types>
        <w:behaviors>
          <w:behavior w:val="content"/>
        </w:behaviors>
        <w:guid w:val="{F3E56E0F-0A3A-4A50-985E-6B29E62AE423}"/>
      </w:docPartPr>
      <w:docPartBody>
        <w:p w:rsidR="00F22465" w:rsidRDefault="00F22465" w:rsidP="00F22465">
          <w:pPr>
            <w:pStyle w:val="DC36B802F8CC4650AF83BD9D4895EF74"/>
          </w:pPr>
          <w:r w:rsidRPr="00DE0F2E">
            <w:rPr>
              <w:rStyle w:val="TextodoEspaoReservado"/>
            </w:rPr>
            <w:t>[Título]</w:t>
          </w:r>
        </w:p>
      </w:docPartBody>
    </w:docPart>
    <w:docPart>
      <w:docPartPr>
        <w:name w:val="080A99E569B64248AECF65D20BB39AA6"/>
        <w:category>
          <w:name w:val="Geral"/>
          <w:gallery w:val="placeholder"/>
        </w:category>
        <w:types>
          <w:type w:val="bbPlcHdr"/>
        </w:types>
        <w:behaviors>
          <w:behavior w:val="content"/>
        </w:behaviors>
        <w:guid w:val="{57630863-8DF8-4561-81B1-D6D2DA2C11F8}"/>
      </w:docPartPr>
      <w:docPartBody>
        <w:p w:rsidR="00F22465" w:rsidRDefault="00F22465" w:rsidP="00F22465">
          <w:pPr>
            <w:pStyle w:val="080A99E569B64248AECF65D20BB39AA6"/>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Times New Roman">
    <w:altName w:val="Times New Roman"/>
    <w:panose1 w:val="00000000000000000000"/>
    <w:charset w:val="00"/>
    <w:family w:val="roman"/>
    <w:notTrueType/>
    <w:pitch w:val="default"/>
  </w:font>
  <w:font w:name="GothamHTF-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4270B"/>
    <w:rsid w:val="0004435F"/>
    <w:rsid w:val="0005642E"/>
    <w:rsid w:val="00072E97"/>
    <w:rsid w:val="00075EE4"/>
    <w:rsid w:val="00082B4D"/>
    <w:rsid w:val="00083641"/>
    <w:rsid w:val="00085270"/>
    <w:rsid w:val="000C14CE"/>
    <w:rsid w:val="000D1428"/>
    <w:rsid w:val="000E07C1"/>
    <w:rsid w:val="000E7658"/>
    <w:rsid w:val="000F046D"/>
    <w:rsid w:val="000F0497"/>
    <w:rsid w:val="00111EF2"/>
    <w:rsid w:val="001410E5"/>
    <w:rsid w:val="001447C0"/>
    <w:rsid w:val="00167BD5"/>
    <w:rsid w:val="00181D9A"/>
    <w:rsid w:val="00182351"/>
    <w:rsid w:val="00184F91"/>
    <w:rsid w:val="001A6B09"/>
    <w:rsid w:val="001B09C1"/>
    <w:rsid w:val="001F771B"/>
    <w:rsid w:val="00200E60"/>
    <w:rsid w:val="00222C0D"/>
    <w:rsid w:val="002273B8"/>
    <w:rsid w:val="00232F72"/>
    <w:rsid w:val="00243884"/>
    <w:rsid w:val="00243DA0"/>
    <w:rsid w:val="0026529D"/>
    <w:rsid w:val="002B5810"/>
    <w:rsid w:val="002B6658"/>
    <w:rsid w:val="002C11EB"/>
    <w:rsid w:val="002C4E96"/>
    <w:rsid w:val="002D6BEB"/>
    <w:rsid w:val="002E2259"/>
    <w:rsid w:val="002E6668"/>
    <w:rsid w:val="002E6BE9"/>
    <w:rsid w:val="00306A93"/>
    <w:rsid w:val="00315106"/>
    <w:rsid w:val="00330B6B"/>
    <w:rsid w:val="00336790"/>
    <w:rsid w:val="00357598"/>
    <w:rsid w:val="003664D3"/>
    <w:rsid w:val="00392242"/>
    <w:rsid w:val="00393CC6"/>
    <w:rsid w:val="003B3A32"/>
    <w:rsid w:val="003C0F29"/>
    <w:rsid w:val="003C3813"/>
    <w:rsid w:val="003D5669"/>
    <w:rsid w:val="00403964"/>
    <w:rsid w:val="00405791"/>
    <w:rsid w:val="00414D50"/>
    <w:rsid w:val="004243C7"/>
    <w:rsid w:val="00430D73"/>
    <w:rsid w:val="004373A1"/>
    <w:rsid w:val="00454F76"/>
    <w:rsid w:val="00462B26"/>
    <w:rsid w:val="00471EB0"/>
    <w:rsid w:val="00472076"/>
    <w:rsid w:val="0047287C"/>
    <w:rsid w:val="004967D6"/>
    <w:rsid w:val="004A3BD5"/>
    <w:rsid w:val="004B5DD4"/>
    <w:rsid w:val="004C33D3"/>
    <w:rsid w:val="004F30C2"/>
    <w:rsid w:val="00503B7F"/>
    <w:rsid w:val="005046E2"/>
    <w:rsid w:val="0051184D"/>
    <w:rsid w:val="005156FB"/>
    <w:rsid w:val="005209D1"/>
    <w:rsid w:val="005A124C"/>
    <w:rsid w:val="005B5A4A"/>
    <w:rsid w:val="005C28E5"/>
    <w:rsid w:val="005D1604"/>
    <w:rsid w:val="005E1971"/>
    <w:rsid w:val="005F28E4"/>
    <w:rsid w:val="00602030"/>
    <w:rsid w:val="0060789C"/>
    <w:rsid w:val="00610166"/>
    <w:rsid w:val="00617FCF"/>
    <w:rsid w:val="006235E6"/>
    <w:rsid w:val="0062364C"/>
    <w:rsid w:val="00641A33"/>
    <w:rsid w:val="00642D82"/>
    <w:rsid w:val="00651453"/>
    <w:rsid w:val="00656E9F"/>
    <w:rsid w:val="006712EE"/>
    <w:rsid w:val="00683713"/>
    <w:rsid w:val="00684E07"/>
    <w:rsid w:val="006969A9"/>
    <w:rsid w:val="006F5737"/>
    <w:rsid w:val="007129AA"/>
    <w:rsid w:val="00714426"/>
    <w:rsid w:val="00726F7D"/>
    <w:rsid w:val="00734492"/>
    <w:rsid w:val="00743E06"/>
    <w:rsid w:val="00760B91"/>
    <w:rsid w:val="007670AF"/>
    <w:rsid w:val="007849E0"/>
    <w:rsid w:val="007929D6"/>
    <w:rsid w:val="007B1ED7"/>
    <w:rsid w:val="007C701A"/>
    <w:rsid w:val="007D13D0"/>
    <w:rsid w:val="007D18A3"/>
    <w:rsid w:val="007D5B19"/>
    <w:rsid w:val="007E2649"/>
    <w:rsid w:val="0080048C"/>
    <w:rsid w:val="00832106"/>
    <w:rsid w:val="008423AA"/>
    <w:rsid w:val="00865F23"/>
    <w:rsid w:val="00870173"/>
    <w:rsid w:val="00876D9A"/>
    <w:rsid w:val="0089380A"/>
    <w:rsid w:val="00896975"/>
    <w:rsid w:val="008A24EB"/>
    <w:rsid w:val="008B43E7"/>
    <w:rsid w:val="008D5661"/>
    <w:rsid w:val="008E536D"/>
    <w:rsid w:val="008E7F60"/>
    <w:rsid w:val="009055BB"/>
    <w:rsid w:val="00925F06"/>
    <w:rsid w:val="009270C7"/>
    <w:rsid w:val="0094378F"/>
    <w:rsid w:val="009541D8"/>
    <w:rsid w:val="009C23C8"/>
    <w:rsid w:val="009D3665"/>
    <w:rsid w:val="009F00CF"/>
    <w:rsid w:val="009F12FE"/>
    <w:rsid w:val="009F54BB"/>
    <w:rsid w:val="00A037B4"/>
    <w:rsid w:val="00A048B3"/>
    <w:rsid w:val="00A04E7E"/>
    <w:rsid w:val="00A14C34"/>
    <w:rsid w:val="00A20D69"/>
    <w:rsid w:val="00A36515"/>
    <w:rsid w:val="00A459B1"/>
    <w:rsid w:val="00A52DE6"/>
    <w:rsid w:val="00A742F8"/>
    <w:rsid w:val="00A768DD"/>
    <w:rsid w:val="00AA7378"/>
    <w:rsid w:val="00AC0F37"/>
    <w:rsid w:val="00AC259C"/>
    <w:rsid w:val="00AD0BF0"/>
    <w:rsid w:val="00AD3A47"/>
    <w:rsid w:val="00AE1FCC"/>
    <w:rsid w:val="00AE68A0"/>
    <w:rsid w:val="00AE6CAD"/>
    <w:rsid w:val="00AF0D9A"/>
    <w:rsid w:val="00AF5565"/>
    <w:rsid w:val="00B026E9"/>
    <w:rsid w:val="00B02D74"/>
    <w:rsid w:val="00B23A6B"/>
    <w:rsid w:val="00B35484"/>
    <w:rsid w:val="00B44623"/>
    <w:rsid w:val="00B45F42"/>
    <w:rsid w:val="00B71993"/>
    <w:rsid w:val="00B846CB"/>
    <w:rsid w:val="00B9558D"/>
    <w:rsid w:val="00BB3143"/>
    <w:rsid w:val="00BB51C4"/>
    <w:rsid w:val="00BB6ED7"/>
    <w:rsid w:val="00BC219C"/>
    <w:rsid w:val="00BD7A28"/>
    <w:rsid w:val="00C01C4D"/>
    <w:rsid w:val="00C11AE6"/>
    <w:rsid w:val="00C5150F"/>
    <w:rsid w:val="00C7273B"/>
    <w:rsid w:val="00C735CF"/>
    <w:rsid w:val="00C871E7"/>
    <w:rsid w:val="00C91390"/>
    <w:rsid w:val="00CA036B"/>
    <w:rsid w:val="00CA0E78"/>
    <w:rsid w:val="00CA0F04"/>
    <w:rsid w:val="00CE47B2"/>
    <w:rsid w:val="00CE69C6"/>
    <w:rsid w:val="00D02C1A"/>
    <w:rsid w:val="00D2513C"/>
    <w:rsid w:val="00D25F63"/>
    <w:rsid w:val="00D30A96"/>
    <w:rsid w:val="00D34B86"/>
    <w:rsid w:val="00D47C5D"/>
    <w:rsid w:val="00D739DA"/>
    <w:rsid w:val="00D917CE"/>
    <w:rsid w:val="00DA0486"/>
    <w:rsid w:val="00DE68DF"/>
    <w:rsid w:val="00E25B89"/>
    <w:rsid w:val="00E31D0A"/>
    <w:rsid w:val="00E50259"/>
    <w:rsid w:val="00E57436"/>
    <w:rsid w:val="00E57ED6"/>
    <w:rsid w:val="00E66504"/>
    <w:rsid w:val="00E80B75"/>
    <w:rsid w:val="00E92AB8"/>
    <w:rsid w:val="00ED49F4"/>
    <w:rsid w:val="00EE5861"/>
    <w:rsid w:val="00EF3791"/>
    <w:rsid w:val="00F22465"/>
    <w:rsid w:val="00F240AC"/>
    <w:rsid w:val="00F45702"/>
    <w:rsid w:val="00F50860"/>
    <w:rsid w:val="00F52492"/>
    <w:rsid w:val="00F571EE"/>
    <w:rsid w:val="00F63B56"/>
    <w:rsid w:val="00F63C4C"/>
    <w:rsid w:val="00F66165"/>
    <w:rsid w:val="00F9540A"/>
    <w:rsid w:val="00FA1F6E"/>
    <w:rsid w:val="00FB02E4"/>
    <w:rsid w:val="00FB62A4"/>
    <w:rsid w:val="00FC4F42"/>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A1D501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22465"/>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06304F05856441F297B5412397C991A5">
    <w:name w:val="06304F05856441F297B5412397C991A5"/>
    <w:rsid w:val="0062364C"/>
    <w:pPr>
      <w:spacing w:after="160" w:line="259" w:lineRule="auto"/>
    </w:pPr>
  </w:style>
  <w:style w:type="paragraph" w:customStyle="1" w:styleId="99055982302C4CD5AFEB81B0799F9765">
    <w:name w:val="99055982302C4CD5AFEB81B0799F9765"/>
    <w:rsid w:val="0062364C"/>
    <w:pPr>
      <w:spacing w:after="160" w:line="259" w:lineRule="auto"/>
    </w:pPr>
  </w:style>
  <w:style w:type="paragraph" w:customStyle="1" w:styleId="CBA365D5A0A74BEAB1AC992C26E24A34">
    <w:name w:val="CBA365D5A0A74BEAB1AC992C26E24A34"/>
    <w:rsid w:val="0062364C"/>
    <w:pPr>
      <w:spacing w:after="160" w:line="259" w:lineRule="auto"/>
    </w:pPr>
  </w:style>
  <w:style w:type="paragraph" w:customStyle="1" w:styleId="AF96F60C5D6E4A48B7E21281DB64A65D">
    <w:name w:val="AF96F60C5D6E4A48B7E21281DB64A65D"/>
    <w:rsid w:val="00617FCF"/>
  </w:style>
  <w:style w:type="paragraph" w:customStyle="1" w:styleId="DC36B802F8CC4650AF83BD9D4895EF74">
    <w:name w:val="DC36B802F8CC4650AF83BD9D4895EF74"/>
    <w:rsid w:val="00F22465"/>
    <w:pPr>
      <w:spacing w:after="160" w:line="259" w:lineRule="auto"/>
    </w:pPr>
  </w:style>
  <w:style w:type="paragraph" w:customStyle="1" w:styleId="080A99E569B64248AECF65D20BB39AA6">
    <w:name w:val="080A99E569B64248AECF65D20BB39AA6"/>
    <w:rsid w:val="00F2246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5EC3EB9-1A83-4A56-B690-38D57F53C763}">
  <ds:schemaRefs>
    <ds:schemaRef ds:uri="http://schemas.microsoft.com/sharepoint/v3/contenttype/forms"/>
  </ds:schemaRefs>
</ds:datastoreItem>
</file>

<file path=customXml/itemProps2.xml><?xml version="1.0" encoding="utf-8"?>
<ds:datastoreItem xmlns:ds="http://schemas.openxmlformats.org/officeDocument/2006/customXml" ds:itemID="{FF972309-D125-44E6-8635-1E75EE226160}">
  <ds:schemaRefs>
    <ds:schemaRef ds:uri="http://purl.org/dc/terms/"/>
    <ds:schemaRef ds:uri="559eb78f-5269-45eb-bdef-10fce936243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A63A133-5C34-4154-8A6A-9FA9DC003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EDCFD9-83E5-4C5E-8F95-EDC2EC1F1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14</Pages>
  <Words>13796</Words>
  <Characters>74501</Characters>
  <Application>Microsoft Office Word</Application>
  <DocSecurity>0</DocSecurity>
  <Lines>620</Lines>
  <Paragraphs>176</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88121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Aquisição de Storage com suporte técnico e garantia</dc:subject>
  <dc:creator>Conselho Nacional de Justiça</dc:creator>
  <cp:keywords/>
  <dc:description/>
  <cp:lastModifiedBy>Jesus</cp:lastModifiedBy>
  <cp:revision>2</cp:revision>
  <cp:lastPrinted>2019-07-26T20:39:00Z</cp:lastPrinted>
  <dcterms:created xsi:type="dcterms:W3CDTF">2021-03-23T19:05:00Z</dcterms:created>
  <dcterms:modified xsi:type="dcterms:W3CDTF">2021-03-23T19:05:00Z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cae4a302-727a-49b0-9d9f-669fdf0d3fbc</vt:lpwstr>
  </property>
  <property fmtid="{D5CDD505-2E9C-101B-9397-08002B2CF9AE}" pid="4" name="TaxKeyword">
    <vt:lpwstr/>
  </property>
  <property fmtid="{D5CDD505-2E9C-101B-9397-08002B2CF9AE}" pid="5" name="Order">
    <vt:r8>257000</vt:r8>
  </property>
</Properties>
</file>