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45" w:rsidRPr="005D2145" w:rsidRDefault="005D2145" w:rsidP="009626A6">
      <w:pPr>
        <w:pStyle w:val="INFOTITULO"/>
        <w:spacing w:before="0" w:line="360" w:lineRule="auto"/>
        <w:ind w:firstLine="709"/>
        <w:jc w:val="both"/>
        <w:rPr>
          <w:i w:val="0"/>
        </w:rPr>
      </w:pPr>
      <w:r w:rsidRPr="005D2145">
        <w:rPr>
          <w:i w:val="0"/>
        </w:rPr>
        <w:t>Tráfico de drogas e imediações de estabelecimento prisional</w:t>
      </w:r>
    </w:p>
    <w:p w:rsidR="005D2145" w:rsidRPr="005D2145" w:rsidRDefault="005D2145" w:rsidP="009626A6">
      <w:pPr>
        <w:pStyle w:val="body10"/>
        <w:spacing w:line="360" w:lineRule="auto"/>
        <w:ind w:firstLine="709"/>
        <w:rPr>
          <w:b/>
          <w:spacing w:val="-4"/>
        </w:rPr>
      </w:pPr>
    </w:p>
    <w:p w:rsidR="005D2145" w:rsidRPr="00896319" w:rsidRDefault="005D2145" w:rsidP="009626A6">
      <w:pPr>
        <w:pStyle w:val="body10"/>
        <w:spacing w:line="360" w:lineRule="auto"/>
        <w:ind w:firstLine="709"/>
        <w:rPr>
          <w:spacing w:val="-4"/>
        </w:rPr>
      </w:pPr>
      <w:r w:rsidRPr="00896319">
        <w:rPr>
          <w:spacing w:val="-4"/>
        </w:rPr>
        <w:t>A Segunda Turma denegou a ordem de “habeas corpus” em que se pretendia afastar a aplicação da causa de aumento prevista no art. 40, III, da Lei 11.343/2006</w:t>
      </w:r>
      <w:r>
        <w:rPr>
          <w:spacing w:val="-4"/>
          <w:vertAlign w:val="superscript"/>
        </w:rPr>
        <w:t xml:space="preserve"> </w:t>
      </w:r>
      <w:r>
        <w:rPr>
          <w:spacing w:val="-4"/>
        </w:rPr>
        <w:t>(*)</w:t>
      </w:r>
      <w:r w:rsidRPr="00896319">
        <w:rPr>
          <w:spacing w:val="-4"/>
        </w:rPr>
        <w:t xml:space="preserve"> em condenação por tráfico de drogas realizado nas imediações de estabelecimento prisional.</w:t>
      </w:r>
    </w:p>
    <w:p w:rsidR="005D2145" w:rsidRPr="00896319" w:rsidRDefault="005D2145" w:rsidP="009626A6">
      <w:pPr>
        <w:pStyle w:val="ENTERX"/>
        <w:spacing w:line="360" w:lineRule="auto"/>
        <w:ind w:firstLine="709"/>
        <w:rPr>
          <w:spacing w:val="-4"/>
        </w:rPr>
      </w:pPr>
      <w:bookmarkStart w:id="0" w:name="_GoBack"/>
      <w:bookmarkEnd w:id="0"/>
    </w:p>
    <w:p w:rsidR="005D2145" w:rsidRPr="00896319" w:rsidRDefault="005D2145" w:rsidP="009626A6">
      <w:pPr>
        <w:pStyle w:val="INFOCORPO"/>
        <w:spacing w:line="360" w:lineRule="auto"/>
        <w:ind w:firstLine="709"/>
        <w:rPr>
          <w:spacing w:val="-4"/>
        </w:rPr>
      </w:pPr>
      <w:r w:rsidRPr="00896319">
        <w:rPr>
          <w:spacing w:val="-4"/>
        </w:rPr>
        <w:t xml:space="preserve">No caso, o STJ deu provimento a recurso especial, interposto pelo Ministério Público, para determinar a incidência da mencionada causa de aumento. </w:t>
      </w:r>
    </w:p>
    <w:p w:rsidR="005D2145" w:rsidRPr="00896319" w:rsidRDefault="005D2145" w:rsidP="009626A6">
      <w:pPr>
        <w:pStyle w:val="ENTERX"/>
        <w:spacing w:line="360" w:lineRule="auto"/>
        <w:ind w:firstLine="709"/>
        <w:rPr>
          <w:spacing w:val="-4"/>
        </w:rPr>
      </w:pPr>
    </w:p>
    <w:p w:rsidR="005D2145" w:rsidRPr="00896319" w:rsidRDefault="005D2145" w:rsidP="009626A6">
      <w:pPr>
        <w:pStyle w:val="body10"/>
        <w:spacing w:line="360" w:lineRule="auto"/>
        <w:ind w:firstLine="709"/>
        <w:rPr>
          <w:spacing w:val="-4"/>
        </w:rPr>
      </w:pPr>
      <w:r w:rsidRPr="00896319">
        <w:rPr>
          <w:spacing w:val="-4"/>
        </w:rPr>
        <w:t xml:space="preserve">A defesa insurgia-se contra a não aplicação o Enunciado </w:t>
      </w:r>
      <w:proofErr w:type="gramStart"/>
      <w:r w:rsidRPr="00896319">
        <w:rPr>
          <w:spacing w:val="-4"/>
        </w:rPr>
        <w:t>7</w:t>
      </w:r>
      <w:proofErr w:type="gramEnd"/>
      <w:r w:rsidRPr="00896319">
        <w:rPr>
          <w:spacing w:val="-4"/>
        </w:rPr>
        <w:t xml:space="preserve"> da Súmula do STJ</w:t>
      </w:r>
      <w:r>
        <w:rPr>
          <w:spacing w:val="-4"/>
        </w:rPr>
        <w:t xml:space="preserve"> (**)</w:t>
      </w:r>
      <w:r w:rsidRPr="00896319">
        <w:rPr>
          <w:spacing w:val="-4"/>
        </w:rPr>
        <w:t>. Além disso, alegava não ter sido demonstrado que o paciente comercializava qualquer tipo de entorpecente com frequentadores do estabelecimento prisional.</w:t>
      </w:r>
    </w:p>
    <w:p w:rsidR="005D2145" w:rsidRPr="00896319" w:rsidRDefault="005D2145" w:rsidP="009626A6">
      <w:pPr>
        <w:pStyle w:val="ENTERX"/>
        <w:spacing w:line="360" w:lineRule="auto"/>
        <w:ind w:firstLine="709"/>
        <w:rPr>
          <w:spacing w:val="-4"/>
        </w:rPr>
      </w:pPr>
    </w:p>
    <w:p w:rsidR="005D2145" w:rsidRPr="00896319" w:rsidRDefault="005D2145" w:rsidP="009626A6">
      <w:pPr>
        <w:pStyle w:val="body10"/>
        <w:spacing w:line="360" w:lineRule="auto"/>
        <w:ind w:firstLine="709"/>
        <w:rPr>
          <w:spacing w:val="-4"/>
        </w:rPr>
      </w:pPr>
      <w:r w:rsidRPr="00896319">
        <w:rPr>
          <w:spacing w:val="-4"/>
        </w:rPr>
        <w:t xml:space="preserve">A Turma asseverou que a jurisprudência do STF está sedimentada na impossibilidade do uso de “habeas corpus” para reexame dos pressupostos de admissibilidade de recurso interposto no STJ. A suposta contradição seria adequadamente solucionada em embargos de declaração dirigidos ao STJ, e não em “habeas corpus” diretamente ao STF. </w:t>
      </w:r>
    </w:p>
    <w:p w:rsidR="005D2145" w:rsidRPr="00896319" w:rsidRDefault="005D2145" w:rsidP="009626A6">
      <w:pPr>
        <w:pStyle w:val="ENTERX"/>
        <w:spacing w:line="360" w:lineRule="auto"/>
        <w:ind w:firstLine="709"/>
        <w:rPr>
          <w:spacing w:val="-4"/>
        </w:rPr>
      </w:pPr>
    </w:p>
    <w:p w:rsidR="005D2145" w:rsidRPr="00896319" w:rsidRDefault="005D2145" w:rsidP="009626A6">
      <w:pPr>
        <w:pStyle w:val="body10"/>
        <w:spacing w:line="360" w:lineRule="auto"/>
        <w:ind w:firstLine="709"/>
        <w:rPr>
          <w:spacing w:val="-4"/>
        </w:rPr>
      </w:pPr>
      <w:r w:rsidRPr="00896319">
        <w:rPr>
          <w:spacing w:val="-4"/>
        </w:rPr>
        <w:t xml:space="preserve">Ademais, salientou que a aplicação da referida causa de aumento se justifica quando constatada a comercialização de drogas nas imediações de estabelecimentos prisionais, sendo irrelevante se o agente infrator visa ou não aos frequentadores daquele local. </w:t>
      </w:r>
    </w:p>
    <w:p w:rsidR="005D2145" w:rsidRPr="00896319" w:rsidRDefault="005D2145" w:rsidP="009626A6">
      <w:pPr>
        <w:pStyle w:val="body10"/>
        <w:spacing w:line="360" w:lineRule="auto"/>
        <w:ind w:firstLine="709"/>
        <w:rPr>
          <w:spacing w:val="-4"/>
          <w:sz w:val="22"/>
          <w:szCs w:val="22"/>
        </w:rPr>
      </w:pPr>
    </w:p>
    <w:p w:rsidR="005D2145" w:rsidRPr="00896319" w:rsidRDefault="005D2145" w:rsidP="009626A6">
      <w:pPr>
        <w:pStyle w:val="INFORODAPE"/>
        <w:spacing w:line="360" w:lineRule="auto"/>
        <w:ind w:firstLine="709"/>
        <w:rPr>
          <w:spacing w:val="-4"/>
        </w:rPr>
      </w:pPr>
      <w:r>
        <w:rPr>
          <w:spacing w:val="-4"/>
        </w:rPr>
        <w:t>(*) L</w:t>
      </w:r>
      <w:r w:rsidRPr="00896319">
        <w:rPr>
          <w:spacing w:val="-4"/>
        </w:rPr>
        <w:t xml:space="preserve">ei 11.343/2006: “Art. 33.  Importar, exportar, remeter, preparar, produzir, fabricar, adquirir, vender, expor à venda, oferecer, ter em depósito, transportar, trazer </w:t>
      </w:r>
      <w:proofErr w:type="gramStart"/>
      <w:r w:rsidRPr="00896319">
        <w:rPr>
          <w:spacing w:val="-4"/>
        </w:rPr>
        <w:t>consigo</w:t>
      </w:r>
      <w:proofErr w:type="gramEnd"/>
      <w:r w:rsidRPr="00896319">
        <w:rPr>
          <w:spacing w:val="-4"/>
        </w:rPr>
        <w:t xml:space="preserve">, guardar, prescrever, ministrar, entregar a consumo ou fornecer drogas, ainda que gratuitamente, sem autorização ou em desacordo com determinação legal ou regulamentar: Pena – reclusão de 5 (cinco) a 15 (quinze) anos e pagamento de 500 (quinhentos) a 1.500 (mil e quinhentos) dias-multa. (...) Art. 40.  As penas previstas nos </w:t>
      </w:r>
      <w:proofErr w:type="spellStart"/>
      <w:r w:rsidRPr="00896319">
        <w:rPr>
          <w:spacing w:val="-4"/>
        </w:rPr>
        <w:t>arts</w:t>
      </w:r>
      <w:proofErr w:type="spellEnd"/>
      <w:r w:rsidRPr="00896319">
        <w:rPr>
          <w:spacing w:val="-4"/>
        </w:rPr>
        <w:t>. 33 a 37 desta Lei são aumentadas de um sexto a dois terços, se: III – a infração tiver sido cometida nas dependências ou imediações de estabelecimentos prisionais, de ensino ou hospitalares, de sedes de entidades estudantis, sociais, culturais, recreativas, esportivas, ou beneficentes, de locais de trabalho coletivo, de recintos onde se realizem espetáculos ou diversões de qualquer natureza, de serviços de tratamento de dependentes de drogas ou de reinserção social, de unidades militares ou policiais ou em transportes públicos;”</w:t>
      </w:r>
    </w:p>
    <w:p w:rsidR="005D2145" w:rsidRPr="002C0E84" w:rsidRDefault="005D2145" w:rsidP="009626A6">
      <w:pPr>
        <w:pStyle w:val="INFORODAPE"/>
        <w:spacing w:line="360" w:lineRule="auto"/>
        <w:ind w:firstLine="709"/>
        <w:rPr>
          <w:spacing w:val="-4"/>
          <w:lang w:eastAsia="pt-BR"/>
        </w:rPr>
      </w:pPr>
      <w:r>
        <w:rPr>
          <w:spacing w:val="-4"/>
          <w:lang w:eastAsia="pt-BR"/>
        </w:rPr>
        <w:t>(**)</w:t>
      </w:r>
      <w:r w:rsidRPr="00896319">
        <w:rPr>
          <w:spacing w:val="-4"/>
          <w:lang w:eastAsia="pt-BR"/>
        </w:rPr>
        <w:t xml:space="preserve"> Enunciado </w:t>
      </w:r>
      <w:proofErr w:type="gramStart"/>
      <w:r w:rsidRPr="00896319">
        <w:rPr>
          <w:spacing w:val="-4"/>
          <w:lang w:eastAsia="pt-BR"/>
        </w:rPr>
        <w:t>7</w:t>
      </w:r>
      <w:proofErr w:type="gramEnd"/>
      <w:r w:rsidRPr="00896319">
        <w:rPr>
          <w:spacing w:val="-4"/>
          <w:lang w:eastAsia="pt-BR"/>
        </w:rPr>
        <w:t xml:space="preserve"> da Súmula do STJ: “A pretensão de simples reexame de prova não enseja recurso especial.”</w:t>
      </w:r>
    </w:p>
    <w:p w:rsidR="005D2145" w:rsidRDefault="005D2145" w:rsidP="009626A6">
      <w:pPr>
        <w:pStyle w:val="body10"/>
        <w:spacing w:line="360" w:lineRule="auto"/>
        <w:ind w:firstLine="709"/>
      </w:pPr>
      <w:r w:rsidRPr="007021FA">
        <w:rPr>
          <w:u w:val="single"/>
        </w:rPr>
        <w:t xml:space="preserve">HC 138944/SC, rel. Min. Dias </w:t>
      </w:r>
      <w:proofErr w:type="spellStart"/>
      <w:r w:rsidRPr="007021FA">
        <w:rPr>
          <w:u w:val="single"/>
        </w:rPr>
        <w:t>Toffoli</w:t>
      </w:r>
      <w:proofErr w:type="spellEnd"/>
      <w:r w:rsidRPr="007021FA">
        <w:rPr>
          <w:u w:val="single"/>
        </w:rPr>
        <w:t>, julgamento em 21</w:t>
      </w:r>
      <w:r>
        <w:rPr>
          <w:u w:val="single"/>
        </w:rPr>
        <w:t>.</w:t>
      </w:r>
      <w:r w:rsidRPr="007021FA">
        <w:rPr>
          <w:u w:val="single"/>
        </w:rPr>
        <w:t>3</w:t>
      </w:r>
      <w:r>
        <w:rPr>
          <w:u w:val="single"/>
        </w:rPr>
        <w:t>.</w:t>
      </w:r>
      <w:r w:rsidRPr="007021FA">
        <w:rPr>
          <w:u w:val="single"/>
        </w:rPr>
        <w:t>2017</w:t>
      </w:r>
      <w:r>
        <w:t>. (HC-138944)</w:t>
      </w:r>
    </w:p>
    <w:p w:rsidR="000306ED" w:rsidRDefault="000306ED" w:rsidP="009626A6">
      <w:pPr>
        <w:spacing w:after="0" w:line="360" w:lineRule="auto"/>
        <w:ind w:firstLine="709"/>
        <w:jc w:val="both"/>
      </w:pPr>
    </w:p>
    <w:sectPr w:rsidR="000306ED" w:rsidSect="00E8307C">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45"/>
    <w:rsid w:val="000306ED"/>
    <w:rsid w:val="001E171D"/>
    <w:rsid w:val="005D2145"/>
    <w:rsid w:val="009626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0">
    <w:name w:val="body10"/>
    <w:link w:val="body10Char"/>
    <w:uiPriority w:val="99"/>
    <w:rsid w:val="005D2145"/>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uiPriority w:val="99"/>
    <w:locked/>
    <w:rsid w:val="005D2145"/>
    <w:rPr>
      <w:rFonts w:ascii="Times New Roman" w:eastAsia="Times New Roman" w:hAnsi="Times New Roman" w:cs="Times New Roman"/>
      <w:sz w:val="20"/>
      <w:szCs w:val="20"/>
      <w:lang w:eastAsia="pt-BR"/>
    </w:rPr>
  </w:style>
  <w:style w:type="paragraph" w:customStyle="1" w:styleId="ENTERX">
    <w:name w:val="ENTER X"/>
    <w:basedOn w:val="Normal"/>
    <w:link w:val="ENTERXChar"/>
    <w:qFormat/>
    <w:rsid w:val="005D2145"/>
    <w:pPr>
      <w:autoSpaceDE w:val="0"/>
      <w:autoSpaceDN w:val="0"/>
      <w:adjustRightInd w:val="0"/>
      <w:spacing w:after="0" w:line="80" w:lineRule="atLeast"/>
      <w:jc w:val="both"/>
    </w:pPr>
    <w:rPr>
      <w:rFonts w:ascii="Times New Roman" w:eastAsia="Times New Roman" w:hAnsi="Times New Roman" w:cs="Times New Roman"/>
      <w:sz w:val="8"/>
      <w:szCs w:val="8"/>
      <w:lang w:eastAsia="pt-BR"/>
    </w:rPr>
  </w:style>
  <w:style w:type="character" w:customStyle="1" w:styleId="ENTERXChar">
    <w:name w:val="ENTER X Char"/>
    <w:link w:val="ENTERX"/>
    <w:locked/>
    <w:rsid w:val="005D2145"/>
    <w:rPr>
      <w:rFonts w:ascii="Times New Roman" w:eastAsia="Times New Roman" w:hAnsi="Times New Roman" w:cs="Times New Roman"/>
      <w:sz w:val="8"/>
      <w:szCs w:val="8"/>
      <w:lang w:eastAsia="pt-BR"/>
    </w:rPr>
  </w:style>
  <w:style w:type="paragraph" w:customStyle="1" w:styleId="INFOTITULO">
    <w:name w:val="INFO TITULO"/>
    <w:basedOn w:val="Normal"/>
    <w:link w:val="INFOTITULOChar"/>
    <w:qFormat/>
    <w:rsid w:val="005D2145"/>
    <w:pPr>
      <w:autoSpaceDE w:val="0"/>
      <w:autoSpaceDN w:val="0"/>
      <w:adjustRightInd w:val="0"/>
      <w:spacing w:before="100" w:after="0" w:line="260" w:lineRule="atLeast"/>
    </w:pPr>
    <w:rPr>
      <w:rFonts w:ascii="Times New Roman" w:eastAsia="Times New Roman" w:hAnsi="Times New Roman" w:cs="Times New Roman"/>
      <w:b/>
      <w:bCs/>
      <w:i/>
      <w:iCs/>
      <w:color w:val="000000"/>
      <w:lang w:eastAsia="pt-BR"/>
    </w:rPr>
  </w:style>
  <w:style w:type="paragraph" w:customStyle="1" w:styleId="INFOCORPO">
    <w:name w:val="INFO CORPO"/>
    <w:basedOn w:val="body10"/>
    <w:link w:val="INFOCORPOChar"/>
    <w:qFormat/>
    <w:rsid w:val="005D2145"/>
  </w:style>
  <w:style w:type="character" w:customStyle="1" w:styleId="INFOTITULOChar">
    <w:name w:val="INFO TITULO Char"/>
    <w:link w:val="INFOTITULO"/>
    <w:locked/>
    <w:rsid w:val="005D2145"/>
    <w:rPr>
      <w:rFonts w:ascii="Times New Roman" w:eastAsia="Times New Roman" w:hAnsi="Times New Roman" w:cs="Times New Roman"/>
      <w:b/>
      <w:bCs/>
      <w:i/>
      <w:iCs/>
      <w:color w:val="000000"/>
      <w:lang w:eastAsia="pt-BR"/>
    </w:rPr>
  </w:style>
  <w:style w:type="paragraph" w:customStyle="1" w:styleId="INFORODAPE">
    <w:name w:val="INFO RODAPE"/>
    <w:basedOn w:val="body10"/>
    <w:link w:val="INFORODAPEChar"/>
    <w:qFormat/>
    <w:rsid w:val="005D2145"/>
    <w:rPr>
      <w:color w:val="000000"/>
      <w:sz w:val="16"/>
      <w:szCs w:val="16"/>
      <w:lang w:eastAsia="en-US"/>
    </w:rPr>
  </w:style>
  <w:style w:type="character" w:customStyle="1" w:styleId="INFOCORPOChar">
    <w:name w:val="INFO CORPO Char"/>
    <w:link w:val="INFOCORPO"/>
    <w:locked/>
    <w:rsid w:val="005D2145"/>
    <w:rPr>
      <w:rFonts w:ascii="Times New Roman" w:eastAsia="Times New Roman" w:hAnsi="Times New Roman" w:cs="Times New Roman"/>
      <w:sz w:val="20"/>
      <w:szCs w:val="20"/>
      <w:lang w:eastAsia="pt-BR"/>
    </w:rPr>
  </w:style>
  <w:style w:type="character" w:customStyle="1" w:styleId="INFORODAPEChar">
    <w:name w:val="INFO RODAPE Char"/>
    <w:link w:val="INFORODAPE"/>
    <w:locked/>
    <w:rsid w:val="005D2145"/>
    <w:rPr>
      <w:rFonts w:ascii="Times New Roman" w:eastAsia="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0">
    <w:name w:val="body10"/>
    <w:link w:val="body10Char"/>
    <w:uiPriority w:val="99"/>
    <w:rsid w:val="005D2145"/>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uiPriority w:val="99"/>
    <w:locked/>
    <w:rsid w:val="005D2145"/>
    <w:rPr>
      <w:rFonts w:ascii="Times New Roman" w:eastAsia="Times New Roman" w:hAnsi="Times New Roman" w:cs="Times New Roman"/>
      <w:sz w:val="20"/>
      <w:szCs w:val="20"/>
      <w:lang w:eastAsia="pt-BR"/>
    </w:rPr>
  </w:style>
  <w:style w:type="paragraph" w:customStyle="1" w:styleId="ENTERX">
    <w:name w:val="ENTER X"/>
    <w:basedOn w:val="Normal"/>
    <w:link w:val="ENTERXChar"/>
    <w:qFormat/>
    <w:rsid w:val="005D2145"/>
    <w:pPr>
      <w:autoSpaceDE w:val="0"/>
      <w:autoSpaceDN w:val="0"/>
      <w:adjustRightInd w:val="0"/>
      <w:spacing w:after="0" w:line="80" w:lineRule="atLeast"/>
      <w:jc w:val="both"/>
    </w:pPr>
    <w:rPr>
      <w:rFonts w:ascii="Times New Roman" w:eastAsia="Times New Roman" w:hAnsi="Times New Roman" w:cs="Times New Roman"/>
      <w:sz w:val="8"/>
      <w:szCs w:val="8"/>
      <w:lang w:eastAsia="pt-BR"/>
    </w:rPr>
  </w:style>
  <w:style w:type="character" w:customStyle="1" w:styleId="ENTERXChar">
    <w:name w:val="ENTER X Char"/>
    <w:link w:val="ENTERX"/>
    <w:locked/>
    <w:rsid w:val="005D2145"/>
    <w:rPr>
      <w:rFonts w:ascii="Times New Roman" w:eastAsia="Times New Roman" w:hAnsi="Times New Roman" w:cs="Times New Roman"/>
      <w:sz w:val="8"/>
      <w:szCs w:val="8"/>
      <w:lang w:eastAsia="pt-BR"/>
    </w:rPr>
  </w:style>
  <w:style w:type="paragraph" w:customStyle="1" w:styleId="INFOTITULO">
    <w:name w:val="INFO TITULO"/>
    <w:basedOn w:val="Normal"/>
    <w:link w:val="INFOTITULOChar"/>
    <w:qFormat/>
    <w:rsid w:val="005D2145"/>
    <w:pPr>
      <w:autoSpaceDE w:val="0"/>
      <w:autoSpaceDN w:val="0"/>
      <w:adjustRightInd w:val="0"/>
      <w:spacing w:before="100" w:after="0" w:line="260" w:lineRule="atLeast"/>
    </w:pPr>
    <w:rPr>
      <w:rFonts w:ascii="Times New Roman" w:eastAsia="Times New Roman" w:hAnsi="Times New Roman" w:cs="Times New Roman"/>
      <w:b/>
      <w:bCs/>
      <w:i/>
      <w:iCs/>
      <w:color w:val="000000"/>
      <w:lang w:eastAsia="pt-BR"/>
    </w:rPr>
  </w:style>
  <w:style w:type="paragraph" w:customStyle="1" w:styleId="INFOCORPO">
    <w:name w:val="INFO CORPO"/>
    <w:basedOn w:val="body10"/>
    <w:link w:val="INFOCORPOChar"/>
    <w:qFormat/>
    <w:rsid w:val="005D2145"/>
  </w:style>
  <w:style w:type="character" w:customStyle="1" w:styleId="INFOTITULOChar">
    <w:name w:val="INFO TITULO Char"/>
    <w:link w:val="INFOTITULO"/>
    <w:locked/>
    <w:rsid w:val="005D2145"/>
    <w:rPr>
      <w:rFonts w:ascii="Times New Roman" w:eastAsia="Times New Roman" w:hAnsi="Times New Roman" w:cs="Times New Roman"/>
      <w:b/>
      <w:bCs/>
      <w:i/>
      <w:iCs/>
      <w:color w:val="000000"/>
      <w:lang w:eastAsia="pt-BR"/>
    </w:rPr>
  </w:style>
  <w:style w:type="paragraph" w:customStyle="1" w:styleId="INFORODAPE">
    <w:name w:val="INFO RODAPE"/>
    <w:basedOn w:val="body10"/>
    <w:link w:val="INFORODAPEChar"/>
    <w:qFormat/>
    <w:rsid w:val="005D2145"/>
    <w:rPr>
      <w:color w:val="000000"/>
      <w:sz w:val="16"/>
      <w:szCs w:val="16"/>
      <w:lang w:eastAsia="en-US"/>
    </w:rPr>
  </w:style>
  <w:style w:type="character" w:customStyle="1" w:styleId="INFOCORPOChar">
    <w:name w:val="INFO CORPO Char"/>
    <w:link w:val="INFOCORPO"/>
    <w:locked/>
    <w:rsid w:val="005D2145"/>
    <w:rPr>
      <w:rFonts w:ascii="Times New Roman" w:eastAsia="Times New Roman" w:hAnsi="Times New Roman" w:cs="Times New Roman"/>
      <w:sz w:val="20"/>
      <w:szCs w:val="20"/>
      <w:lang w:eastAsia="pt-BR"/>
    </w:rPr>
  </w:style>
  <w:style w:type="character" w:customStyle="1" w:styleId="INFORODAPEChar">
    <w:name w:val="INFO RODAPE Char"/>
    <w:link w:val="INFORODAPE"/>
    <w:locked/>
    <w:rsid w:val="005D2145"/>
    <w:rPr>
      <w:rFonts w:ascii="Times New Roman" w:eastAsia="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Tribunal de Justiça MT</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Henrique Machado</dc:creator>
  <cp:lastModifiedBy>Bathilde Jorge Moraes Abdalla</cp:lastModifiedBy>
  <cp:revision>2</cp:revision>
  <dcterms:created xsi:type="dcterms:W3CDTF">2017-04-06T21:17:00Z</dcterms:created>
  <dcterms:modified xsi:type="dcterms:W3CDTF">2017-04-06T21:24:00Z</dcterms:modified>
</cp:coreProperties>
</file>