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0" w:rsidRPr="000308E0" w:rsidRDefault="00A015FA" w:rsidP="00B067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308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COMUNIDADES TERAPÊUTICAS E PODER PÚBLICO</w:t>
      </w:r>
    </w:p>
    <w:p w:rsidR="00124ED7" w:rsidRPr="000308E0" w:rsidRDefault="00C63FE8" w:rsidP="00B067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3DD" w:rsidRPr="000308E0" w:rsidRDefault="003B357A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r w:rsidR="00BF75F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75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artigo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5F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 por finalidade 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provocar a comunidade jurídica, em especial juízes e promotores,</w:t>
      </w:r>
      <w:r w:rsidR="00BF75F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BF75F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aprofundame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nto 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das questões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relacionada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ao enfrentamento 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eficiente da problemática das 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drogas, sobretudo no que diz respeito às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famigeradas 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comunidades terapêuticas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(locais de internação para tratamento 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dependentes químicos)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3DD" w:rsidRPr="000308E0" w:rsidRDefault="00124ED7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 início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conceituo as</w:t>
      </w:r>
      <w:r w:rsidR="006B77A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casas terapêuticas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como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F75F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nstituições privadas, sem fins lucrativos e financiadas, em parte, pelo </w:t>
      </w:r>
      <w:r w:rsidR="00EE175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poder público 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muito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relacionadas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às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instituições religiosas</w:t>
      </w:r>
      <w:r w:rsidR="00BF75F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23D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A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Realizam acolhimento de pessoas, em caráter voluntário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compulsoriamente, leia-se: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ordem judicial</w:t>
      </w:r>
      <w:r w:rsidR="006B77A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com problemas associados ao uso nocivo ou dependência de substância psi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coativa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que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meu 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entender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6B77A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ntegram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 </w:t>
      </w:r>
      <w:r w:rsidR="006B77A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Sistema Nacional de Políticas Públicas sobre </w:t>
      </w:r>
      <w:proofErr w:type="gramStart"/>
      <w:r w:rsidR="006B77A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Drogas –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SISNAD</w:t>
      </w:r>
      <w:proofErr w:type="gramEnd"/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7C6C" w:rsidRPr="000308E0" w:rsidRDefault="00EE1756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Todavia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comunidades terapêuticas, 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infelizmente, 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não são consideradas estabelecimentos de saúde, mas de interesse e apoio das políticas públicas de cuidados, atenção, tratamento, proteção, promoção e reinserção social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drogaditados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0D36" w:rsidRPr="000308E0" w:rsidRDefault="00EE1756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Dess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250D3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iniciais 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considerações</w:t>
      </w:r>
      <w:r w:rsidR="0046275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chego a seguinte premissa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casas terapêuticas se apresentam como mais um instrumento, ao lado de grupos de apoio, terapias coletivas, inserção em programas sociais, 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Centro de Atenção Psicossocial - 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CAPS (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Álcool e 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rogas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Adolescer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internação em sistema ambulatorial e outros</w:t>
      </w:r>
      <w:r w:rsidR="00250D3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ED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forma de intervenção </w:t>
      </w:r>
      <w:r w:rsidR="003B35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junto ao adicto</w:t>
      </w:r>
      <w:r w:rsidR="00C63FE8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47C6C" w:rsidRPr="000308E0" w:rsidRDefault="00C63FE8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Só para situarmos o atento leitor, no Brasil mudam-se os nomes, mas os problemas continuam os mesmos, primeiro eram drogados, depois, dependentes químicos e agora o termo correto é adicto, ou seja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pessoa dependente de drogas</w:t>
      </w:r>
      <w:r w:rsidR="00250D3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335A" w:rsidRPr="000308E0" w:rsidRDefault="00771E4D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 propósito, a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A5335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olítica Nacional sobre drogas teve início no ano de 1998, após a realização da XX Assembleia Geral Especial das Nações Unidas, em que 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se discutiram</w:t>
      </w:r>
      <w:r w:rsidR="00A5335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princípios diretivos para redução da demanda de drogas, aderidos pelo Brasil. Tendo sido criado Conselho Federal de Entorpecentes (CONFEN), que foi transformado no Conselho Nacional Antidrogas (CONAD) e foi criada a Secretaria Nacional Antidrogas (SENAD). </w:t>
      </w:r>
    </w:p>
    <w:p w:rsidR="00A5335A" w:rsidRPr="000308E0" w:rsidRDefault="00147C6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Por sua vez, a</w:t>
      </w:r>
      <w:r w:rsidR="00A5335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SENAD, no ano de 2006, coordenou um grupo d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trabalho do governo que </w:t>
      </w:r>
      <w:r w:rsidR="00CF04E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culminou na aprovação da Lei Federal nº. 11.343/2006, que instituiu o Sistema Nacional de Políticas Públicas sobre Drogas (SISNAD).</w:t>
      </w:r>
    </w:p>
    <w:p w:rsidR="00147C6C" w:rsidRPr="000308E0" w:rsidRDefault="00047DB6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 Conselho Nacional Antidrogas (CONAD), 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meio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da Lei Federal nº. 11.754/2008</w:t>
      </w:r>
      <w:proofErr w:type="gramStart"/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passou</w:t>
      </w:r>
      <w:proofErr w:type="gramEnd"/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ser chamad</w:t>
      </w:r>
      <w:r w:rsidR="00250D3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Conselho Nacional de Políticas sobre Drogas, sendo as ações descentralizadas pelos Conselhos Es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taduais e Conselhos Municipais.</w:t>
      </w:r>
    </w:p>
    <w:p w:rsidR="00147C6C" w:rsidRPr="000308E0" w:rsidRDefault="00250D36" w:rsidP="001A0A9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 L</w:t>
      </w:r>
      <w:r w:rsidR="00AB5CF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ei 11.343/2006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(Lei de Drogas)</w:t>
      </w:r>
      <w:r w:rsidR="00AB5CF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reconheceu a diferença entre a figura do traficante e do usuário/dependente, que passaram a ser tratados de modo diferenciado e ocu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par capítulos diferentes da L</w:t>
      </w:r>
      <w:r w:rsidR="006E2AC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ei, pelo que não devem ser penalizados com privação de liberdade.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Aliás,</w:t>
      </w:r>
      <w:r w:rsidR="006E2AC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51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pesa sobre o artigo 28 fortíssimos indícios de inconstitucionalidade</w:t>
      </w:r>
      <w:r w:rsidR="00954516" w:rsidRPr="000308E0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ma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 d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eixo para outra oportunidade est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 discussão. Fato é que a Política do Conselho Nacional de Justiça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-CNJ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aliada à nova Lei de Drogas mudaram os rumos da visão do Poder Judiciário, passando a 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Justiça r</w:t>
      </w:r>
      <w:r w:rsidR="006E2AC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etri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butiva a ser substituída pela J</w:t>
      </w:r>
      <w:r w:rsidR="006E2AC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ustiça restaurativa, com objetivo de ressocialização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2AC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</w:t>
      </w:r>
      <w:r w:rsidR="006E2AC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penas alternativas. </w:t>
      </w:r>
    </w:p>
    <w:p w:rsidR="00AB5CFA" w:rsidRPr="000308E0" w:rsidRDefault="00471F1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Atualmente a dependência química</w:t>
      </w:r>
      <w:r w:rsidR="00250D3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adição,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está sendo caracterizada como um transtorno mental, 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catalogad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Classificação Internacional de Doenças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(CID-10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147C6C" w:rsidRPr="000308E0" w:rsidRDefault="00147C6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Muito bem, lindo, até aqui nenhuma novidade</w:t>
      </w:r>
      <w:r w:rsidR="00250D36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0D36" w:rsidRPr="000308E0" w:rsidRDefault="00250D36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 problema é que a L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ei e os estudiosos esqueceram-se da figura intermediária, que diariamente os operadores do sistema legal, no meu caso Juiz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Criminal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lidam. </w:t>
      </w:r>
    </w:p>
    <w:p w:rsidR="00147C6C" w:rsidRPr="000308E0" w:rsidRDefault="00250D36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Esta figura chama-se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usuário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-traficante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-dependente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ou traficante-usuário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adicto, drogado,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podem escolher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 é, </w:t>
      </w:r>
      <w:r w:rsidR="00147C6C"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escravo das drogas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Ele não se enquadra na figura do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28 da Lei de Drogas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e o que é pior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ignora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mos a temática,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incluso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nós,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sistema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prisional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se traficante fosse, nos termos do artigo 33 d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Lei de Drogas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mas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trata-se 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verdade 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 um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doente</w:t>
      </w:r>
      <w:r w:rsidR="00147C6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7C6C" w:rsidRPr="000308E0" w:rsidRDefault="00147C6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Disso temos duas consequências:</w:t>
      </w:r>
    </w:p>
    <w:p w:rsidR="001401A3" w:rsidRPr="000308E0" w:rsidRDefault="00147C6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Primeira: colocamos na cadeia pessoas de 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baixa periculosidade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doente mentais, consoante</w:t>
      </w:r>
      <w:proofErr w:type="gramEnd"/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Classificação Internacional de Doenças 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A0A9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CID-10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os tratamos como se 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criminosos fossem</w:t>
      </w:r>
      <w:r w:rsidR="00FC56E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56E5" w:rsidRPr="000308E0" w:rsidRDefault="00FC56E5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Segunda: da cadeia saem formados na faculdade do crime e passa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praticar atos mais graves, como roubos, assassinatos e outros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bárbaros crimes,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forma de manterem </w:t>
      </w:r>
      <w:r w:rsidR="001401A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sua dependência. </w:t>
      </w:r>
    </w:p>
    <w:p w:rsidR="001401A3" w:rsidRPr="000308E0" w:rsidRDefault="001401A3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Veja a conceituação de dependência química: </w:t>
      </w:r>
      <w:proofErr w:type="gramStart"/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308E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A Dependência Química é considerada um transtorno mental</w:t>
      </w:r>
      <w:r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em que o portador desse distúrbio </w:t>
      </w:r>
      <w:r w:rsidRPr="000308E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perde o controle do uso da substância</w:t>
      </w:r>
      <w:r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 a sua vida psíquica, emocional, espiritual e </w:t>
      </w:r>
      <w:r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física vai se deteriorando gravemente.</w:t>
      </w:r>
      <w:proofErr w:type="gramEnd"/>
      <w:r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Nessa situação, a maioria das pessoas precisa de tratamento e de ajuda competente e adequada. </w:t>
      </w:r>
      <w:r w:rsidRPr="000308E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DEPENDÊNCIA QUÍMICA NÃO É SIMPLESMENTE "FALTA DE VERGONHA NA CARA" OU UM PROBLEMA MORAL, É UMA DOENÇA COMO A DIABETES</w:t>
      </w:r>
      <w:r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o paciente não escolhe ter a doença, mas pode sim escolher fazer o tratamento, e assim como </w:t>
      </w:r>
      <w:r w:rsidR="00860E2F"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diabéticos</w:t>
      </w:r>
      <w:r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controlam o </w:t>
      </w:r>
      <w:r w:rsidR="00860E2F"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açúcar</w:t>
      </w:r>
      <w:r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 sangue com medicações e cuidados com a alimentação, o dependente químico pode buscar ajuda para controlar sua adicção e entender o ciclo da doença. É considerada uma doença BIOPSICOSSOCIAL</w:t>
      </w:r>
      <w:r w:rsidRPr="000308E0">
        <w:rPr>
          <w:rStyle w:val="Refdenotaderodap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2"/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56E5" w:rsidRPr="000308E0" w:rsidRDefault="00FC56E5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Explico: precisamos desmistificar a questão relacionada às drogas no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sistema judicial d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Brasil.</w:t>
      </w:r>
    </w:p>
    <w:p w:rsidR="0090317A" w:rsidRPr="000308E0" w:rsidRDefault="001F7E51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FC56E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 questão liga-se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adiciona-se,</w:t>
      </w:r>
      <w:r w:rsidR="00FC56E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muito mais a noção de política pública de saúde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tanto é que se considera doença Biopsicossocial</w:t>
      </w:r>
      <w:r w:rsidR="00FC56E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que a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política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repressiva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6E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criminal. </w:t>
      </w:r>
    </w:p>
    <w:p w:rsidR="00FC56E5" w:rsidRPr="000308E0" w:rsidRDefault="00FC56E5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Sendo que neste último caso,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aí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sim, necessitamos de forte intervenção da força pública estatal na repressão e punição dos verdadeiros traficantes.</w:t>
      </w:r>
    </w:p>
    <w:p w:rsidR="001C046D" w:rsidRPr="000308E0" w:rsidRDefault="001C046D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Dentre os dependentes</w:t>
      </w:r>
      <w:r w:rsidR="00FC56E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questão</w:t>
      </w:r>
      <w:r w:rsidR="00FC56E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mais me toca é a questão dos </w:t>
      </w:r>
      <w:r w:rsidR="005938D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traficantes-dependentes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-usuários</w:t>
      </w:r>
      <w:r w:rsidR="005938D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que são aqueles que praticam pequenos delitos e venda de pequenas quantidades de drogas, para a manutenção de seu vício.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na maior parte, são pobres, negros e marginalizados. </w:t>
      </w:r>
    </w:p>
    <w:p w:rsidR="0090317A" w:rsidRPr="000308E0" w:rsidRDefault="00EE1756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Assim, s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ustentado 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conhecimentos agregados na especialização ofertada pela 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Federal do Estado de Mato Grosso – UFMT, 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em inédita parceria com o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Tribunal de Justiça do Estado do Mato Grosso -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TJMT, por meio da Comissão Especial Sobre Drogas Ilícitas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comandada</w:t>
      </w:r>
      <w:r w:rsidR="005B07F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brilhantismo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Excelentíssimo Desembargador Marcos Machado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ofertou-se </w:t>
      </w:r>
      <w:r w:rsidR="005B07F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aos magistrados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curso 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denominad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Justiça Restaurativa em Crack, Outras Drogas e Família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qual vários frutos nasceram.</w:t>
      </w:r>
    </w:p>
    <w:p w:rsidR="00860E2F" w:rsidRPr="000308E0" w:rsidRDefault="001C046D" w:rsidP="00860E2F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Com efeito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após a oitiva dos notáveis profissionais que atuam no tema há décadas no país, médicos psiquiatras,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enfermeiros,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bioquímicos, assistentes sociais, psicólogos, professores de educação física, delegados de polícia, policiais civis, 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policiais 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militares,</w:t>
      </w:r>
      <w:r w:rsidR="00F03F5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promotores de justiça,</w:t>
      </w:r>
      <w:r w:rsidR="0098073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defensores públicos, advogados, acadêmicos,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agentes prisionais e outros,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rendo as minhas homenagens à professora, Delma Perpétua 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 Souza </w:t>
      </w:r>
      <w:r w:rsidR="005A33F0" w:rsidRPr="000308E0">
        <w:rPr>
          <w:rStyle w:val="Refdenotaderodap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3"/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33F0" w:rsidRPr="00030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expert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assunto, </w:t>
      </w:r>
      <w:r w:rsidR="00860E2F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somado ao acesso a materiais de apoio, e mais de 80 (oitenta) horas aulas, afirmo que fui capacitado.</w:t>
      </w:r>
    </w:p>
    <w:p w:rsidR="007B2C4C" w:rsidRPr="000308E0" w:rsidRDefault="008E4DF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Desta feita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ouso fazer 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três classificações: a) usuários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simples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técnicas de ataque: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utilização de métodos tradicionais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(grupos de apoio, terapia, acompanhamento pelo CAPS, </w:t>
      </w:r>
      <w:r w:rsidR="00A015F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; b) usuário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-traficantes</w:t>
      </w:r>
      <w:r w:rsidR="0090317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-dependentes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técnica de ataque: 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utilização de casas terapêuticas; c) traficantes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técnica de ataque: </w:t>
      </w:r>
      <w:r w:rsidR="005865DB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cadeia.</w:t>
      </w:r>
    </w:p>
    <w:p w:rsidR="007B2C4C" w:rsidRPr="000308E0" w:rsidRDefault="007B2C4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</w:t>
      </w:r>
      <w:r w:rsidR="008E4DF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após árduo estudo, visualizo</w:t>
      </w:r>
      <w:r w:rsidR="008E4DFC"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que o usuário-traficante</w:t>
      </w:r>
      <w:r w:rsidR="00C10379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-dependente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</w:t>
      </w:r>
      <w:r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DOENTE MENTAL</w:t>
      </w:r>
      <w:r w:rsidR="008E4DFC"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E4DF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Portanto, a</w:t>
      </w:r>
      <w:r w:rsidR="001F7E51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 se deve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ministrar </w:t>
      </w:r>
      <w:r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tratamento</w:t>
      </w:r>
      <w:r w:rsidR="001F7E51"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</w:t>
      </w:r>
      <w:r w:rsidR="001F7E51"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equa</w:t>
      </w:r>
      <w:r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meio de médicos, psicólogos e assistentes sociais, utilizando-se das casas terapêuticas como instrumentos de recuperação da pessoa. </w:t>
      </w:r>
    </w:p>
    <w:p w:rsidR="007B2C4C" w:rsidRPr="000308E0" w:rsidRDefault="008E4DF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Refletindo juridicamente chego a seguinte conclusão.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ós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juízes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 sabemos quando estamos tratando desta categoria de ser humano,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(usuários-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traficante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dependente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073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duas uma, ou será colocado no cárcere e 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tornar-se-á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criminoso profissional</w:t>
      </w:r>
      <w:r w:rsidR="0098073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revoltadíssimo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ou será posto em liberdade e voltará a reincidir na criminalidade para sustentar o vício.</w:t>
      </w:r>
    </w:p>
    <w:p w:rsidR="001C046D" w:rsidRPr="000308E0" w:rsidRDefault="007B2C4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É por isso que nós defendemos uma saída intermediária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a estruturação das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casa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terapêuticas</w:t>
      </w:r>
      <w:r w:rsidR="008E4DF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98073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ou qualquer outro nome que possa ser dado</w:t>
      </w:r>
      <w:r w:rsidR="0098073A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esta instituição de saúde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forma 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ministrar tratamento adequando ao dependente químico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 reinseri-lo à sociedade.</w:t>
      </w:r>
      <w:r w:rsidR="001C046D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2C4C" w:rsidRPr="000308E0" w:rsidRDefault="001C046D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Façamos uma análise realista, se a família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dependente químico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possuidora de posses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certamente colocará o familiar nas casas de recuperação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 No entanto,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adicto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origem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pobre é líquido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certo que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residirá em uma de nossas cadeias. 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1884" w:rsidRPr="000308E0" w:rsidRDefault="00B81884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Neste espectro,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C4C"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doente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4B7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que é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usuário-traficante</w:t>
      </w:r>
      <w:r w:rsidR="00D10AC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-dependente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sujeito de direitos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entre</w:t>
      </w:r>
      <w:r w:rsidR="007B2C4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eles </w:t>
      </w:r>
      <w:r w:rsidR="00471F1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 seu devido tratamento para a garantia da adequada reinserção social</w:t>
      </w:r>
      <w:r w:rsidR="008E4DF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inclusive encontra</w:t>
      </w:r>
      <w:r w:rsidR="008E4DF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disciplinado pela </w:t>
      </w:r>
      <w:r w:rsidR="00471F1C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Lei 10.216 de 2001.</w:t>
      </w:r>
    </w:p>
    <w:p w:rsidR="00B81884" w:rsidRPr="000308E0" w:rsidRDefault="00471F1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 Lei de Saúde Mental (10.216/2001), objetiva garantir os direitos e proteção às pessoas acometidas por transtorno mental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entre eles os drogados,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independente de nacionalidade, idade, família, recursos econômicos, entre outros.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art. 2º da mesma lei, são indicados os direitos garantidos aos portadores do transtorno e aos seus familiares nos atendimentos em saúde mental. Entre tais direitos, o inciso V diz que 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o mesmo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 “ter direito à presença médica, em qualquer tempo, para esclarecer a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necessidade ou não de sua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hospitalização involuntária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”, é garantido ainda ao usuário e familiares, em seu inciso VII, o recebimento do maior número de informações a respeito da sua doença.</w:t>
      </w:r>
    </w:p>
    <w:p w:rsidR="00B81884" w:rsidRPr="000308E0" w:rsidRDefault="00471F1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Em rela</w:t>
      </w:r>
      <w:r w:rsidR="00C74CC3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ção aos recursos, o parágrafo segundo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art. 4º da Lei, estabelece que: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308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 tratamento em regime de internação será estruturado de forma a oferecer assistência integral à pessoa portadora de transtornos mentais, incluindo serviços médicos, de assistência social, psicológicos, ocupacionais, de lazer, e </w:t>
      </w:r>
      <w:r w:rsidR="00A015FA" w:rsidRPr="000308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outros.</w:t>
      </w:r>
      <w:proofErr w:type="gramStart"/>
      <w:r w:rsidR="00A015FA" w:rsidRPr="000308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”</w:t>
      </w:r>
      <w:proofErr w:type="gramEnd"/>
      <w:r w:rsidR="005A33F0" w:rsidRPr="000308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B81884" w:rsidRPr="000308E0" w:rsidRDefault="00471F1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Ainda no artigo 4º, em seu parágrafo primeiro, é explicitado que a internação deve ser aplicada em</w:t>
      </w:r>
      <w:r w:rsidR="005A33F0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ultima ratio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ou seja, quando </w:t>
      </w:r>
      <w:proofErr w:type="gramStart"/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todos os recursos extra-hospitalares</w:t>
      </w:r>
      <w:proofErr w:type="gramEnd"/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mostrarem insuficientes.</w:t>
      </w:r>
    </w:p>
    <w:p w:rsidR="00D10AC0" w:rsidRPr="000308E0" w:rsidRDefault="00D10AC0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Assim, </w:t>
      </w:r>
      <w:r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devemos classificar as casas terapêuticas como estabelecimentos de saúde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 e cabe ao Poder Legislativo fazer esta opção política fundamental, e ao Poder Executivo, dar o apoio necessário para a estruturação e reclassificação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delas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estabelecimentos de saúde, e ao Poder Judiciário dar a Cezar o que é de Cezar</w:t>
      </w:r>
      <w:r w:rsidRPr="000308E0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isto é 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direcionar os dependentes a estes estabelecimentos recuperativos. </w:t>
      </w:r>
    </w:p>
    <w:p w:rsidR="00B81884" w:rsidRPr="000308E0" w:rsidRDefault="00471F1C" w:rsidP="00771E4D">
      <w:pPr>
        <w:spacing w:after="0" w:line="36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 precípua finalidade é a reinserção social do dependente químico, protegendo a sua vida e dignidade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 De mais a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915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garanti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a ordem pública que se mostra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extremamente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violentada quando um adicto encontra-se na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rua</w:t>
      </w:r>
      <w:r w:rsidR="008476EE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81884"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disponível para qualquer empreitada criminosa para solucionar a sua abstinência ao uso da droga</w:t>
      </w:r>
      <w:r w:rsidRPr="00030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67BF" w:rsidRPr="000308E0" w:rsidRDefault="008476EE" w:rsidP="00771E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Apesar da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Lei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Drogas</w:t>
      </w:r>
      <w:r w:rsidRPr="000308E0">
        <w:rPr>
          <w:rStyle w:val="Refdenotaderodap"/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footnoteReference w:id="5"/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dedicar um título para as garantias do usuário e dependente, abordando sobre a política preventiva (capítulo I) e de reinserção social (capítulo II), a atuação do Estado e entes privados (art. 24), a destinação de recursos a instituições sem fins lucrativos (art. 25), entre outros, a mesma não dispõe sobre a internação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 usuário de drogas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476EE" w:rsidRPr="000308E0" w:rsidRDefault="008476EE" w:rsidP="00771E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fato de a L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ei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Drogas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permanecer</w:t>
      </w:r>
      <w:proofErr w:type="gramEnd"/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silente quanto à possibilidade de internação para tratamento do usuário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significa que esta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opção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esteja vedada pelo ordenamento jurídico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:rsidR="00DA5C8C" w:rsidRPr="000308E0" w:rsidRDefault="008476EE" w:rsidP="00771E4D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contrário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conforme a 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 10</w:t>
      </w:r>
      <w:r w:rsidR="009F5915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216/2001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dispõe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sobre a proteção e os direitos das pessoas portadoras de transtornos mentais e redireciona o 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modelo assistencial em saúde mental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é possível a internação daquel</w:t>
      </w:r>
      <w:r w:rsidR="00B067BF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 que através de laudo médico são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diagnosticado</w:t>
      </w:r>
      <w:r w:rsidR="00B067BF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transtorno mental, podendo esta ocorrer de três formas: voluntária, involuntária e compulsória.</w:t>
      </w:r>
    </w:p>
    <w:p w:rsidR="00DA5C8C" w:rsidRPr="000308E0" w:rsidRDefault="00DA5C8C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r w:rsidR="009E59DB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Conselho Nacional de Políticas sobre Drogas</w:t>
      </w:r>
      <w:r w:rsidR="009F5915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- CONAD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estabelece sua P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olítica Nacional sobre Drogas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meio 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da Resolução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n. 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 de 27 de outubro de 2005, e, no que tange à recuperação e reinserção social, destaca que:</w:t>
      </w:r>
      <w:r w:rsidR="00B067BF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“</w:t>
      </w:r>
      <w:r w:rsidR="00B067BF" w:rsidRPr="000308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O</w:t>
      </w:r>
      <w:r w:rsidRPr="00030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Estado deve estimular, garantir e promover ações para que a sociedade (incluindo os usuários, dependentes, familiares e populações específicas) possa assumir com responsabilidade, o tratamento, a recuperação e a reinserção social, apoiada a técnica e financeiramente, de forma descentralizada, pelos órgãos governamentais, nos níveis municipal, estadual e federal, pelas organizações não governamentais e entidades privadas.</w:t>
      </w:r>
      <w:r w:rsidR="009F5915" w:rsidRPr="00030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”.</w:t>
      </w:r>
      <w:r w:rsidRPr="00030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(Resolução nº 3 de 2005)</w:t>
      </w:r>
      <w:r w:rsidR="00B067BF" w:rsidRPr="000308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B067BF" w:rsidRPr="000308E0" w:rsidRDefault="00B067BF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Portanto, a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medida de internação do dependente é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juridicamente admitida em 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situações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fundamentadas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nas quais o dependente se encontre em situações de risco de vida, sendo necessário que tenham esgotados todos os recursos distintos do cerceamento da liberdade do mesmo. Todavia, quando resta identificado o transtorno mental do usuário, tem-se que a sua capacidade de autocontrole da situação encontra-se comprometida. Isso significa que, muitas vezes, o mesmo não possui condições de entender a necessidade de tratamento diverso, nem sequer controle quanto ao tratamento </w:t>
      </w:r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extra-hospitalar</w:t>
      </w:r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tendo em vista que a possibilidade do mesmo ter </w:t>
      </w:r>
      <w:proofErr w:type="gramStart"/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recaídas</w:t>
      </w:r>
      <w:proofErr w:type="gramEnd"/>
      <w:r w:rsidR="00DA5C8C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início é bem maior.</w:t>
      </w:r>
    </w:p>
    <w:p w:rsidR="00A0145E" w:rsidRPr="000308E0" w:rsidRDefault="00DA5C8C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Percebe-se nesse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caso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necessidade de inte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rnação do dependente em clínicas ou comunidades terapêuticas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fim de oferecer o tratamento adequado nas crises de abstinências e evitar o retorno ao uso de drogas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vem invariavelmente</w:t>
      </w:r>
      <w:r w:rsidR="00D943A0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aliado à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prática de crimes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:rsidR="00B067BF" w:rsidRPr="000308E0" w:rsidRDefault="00B067BF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</w:t>
      </w:r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essas considerações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conclamamos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Poder Público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Sociedade Civil O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rganizada,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união de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forças para a estruturação das casas terapêuticas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D943A0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omo um dos instrumentos postos à</w:t>
      </w:r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disposição do sistema estatal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</w:t>
      </w:r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tratamento desses seres humanos, que </w:t>
      </w:r>
      <w:proofErr w:type="gramStart"/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estão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proofErr w:type="gramEnd"/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AB25CA" w:rsidRPr="000308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com a devida </w:t>
      </w:r>
      <w:r w:rsidR="009E59DB" w:rsidRPr="000308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ve</w:t>
      </w:r>
      <w:r w:rsidR="00AB25CA" w:rsidRPr="000308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nia dos que pensam diferentemente</w:t>
      </w:r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AB25CA" w:rsidRPr="00030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escravizados pelo envolvimento com as drogas</w:t>
      </w:r>
      <w:r w:rsidR="00AB25CA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trazendo riscos a sua vida, a integridade da sua família e a ordem pública, tudo isso em razão da DOENÇA da qual estão acometidos.</w:t>
      </w:r>
      <w:r w:rsidR="008D4916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</w:t>
      </w:r>
      <w:proofErr w:type="gramStart"/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convenhamos</w:t>
      </w:r>
      <w:r w:rsidR="00D943A0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proofErr w:type="gramEnd"/>
      <w:r w:rsidR="009E59DB"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doente deverá ser tratado por</w:t>
      </w:r>
      <w:r w:rsidR="008D4916" w:rsidRPr="0003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4916" w:rsidRPr="00030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estabelecimentos de saúde</w:t>
      </w:r>
      <w:r w:rsidR="00D943A0" w:rsidRPr="00030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e não cadeia</w:t>
      </w:r>
      <w:r w:rsidR="00E76447" w:rsidRPr="00030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!</w:t>
      </w:r>
      <w:r w:rsidR="008D4916" w:rsidRPr="000308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AB25CA" w:rsidRPr="000308E0" w:rsidRDefault="00AB25CA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Neste aspecto, aprendi na magistratura que 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o </w:t>
      </w:r>
      <w:r w:rsidR="008D4916" w:rsidRPr="000308E0">
        <w:rPr>
          <w:rFonts w:ascii="Times New Roman" w:hAnsi="Times New Roman" w:cs="Times New Roman"/>
          <w:sz w:val="24"/>
          <w:szCs w:val="24"/>
        </w:rPr>
        <w:t>J</w:t>
      </w:r>
      <w:r w:rsidR="00823EFB" w:rsidRPr="000308E0">
        <w:rPr>
          <w:rFonts w:ascii="Times New Roman" w:hAnsi="Times New Roman" w:cs="Times New Roman"/>
          <w:sz w:val="24"/>
          <w:szCs w:val="24"/>
        </w:rPr>
        <w:t>uiz não pode deixar de jul</w:t>
      </w:r>
      <w:r w:rsidR="008D4916" w:rsidRPr="000308E0">
        <w:rPr>
          <w:rFonts w:ascii="Times New Roman" w:hAnsi="Times New Roman" w:cs="Times New Roman"/>
          <w:sz w:val="24"/>
          <w:szCs w:val="24"/>
        </w:rPr>
        <w:t>gar alegando que não conhece a L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ei ou que não existe </w:t>
      </w:r>
      <w:r w:rsidR="008D4916" w:rsidRPr="000308E0">
        <w:rPr>
          <w:rFonts w:ascii="Times New Roman" w:hAnsi="Times New Roman" w:cs="Times New Roman"/>
          <w:sz w:val="24"/>
          <w:szCs w:val="24"/>
        </w:rPr>
        <w:t>a L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ei (art. 4º da Lei de </w:t>
      </w:r>
      <w:r w:rsidR="00823EFB" w:rsidRPr="000308E0">
        <w:rPr>
          <w:rFonts w:ascii="Times New Roman" w:hAnsi="Times New Roman" w:cs="Times New Roman"/>
          <w:sz w:val="24"/>
          <w:szCs w:val="24"/>
        </w:rPr>
        <w:lastRenderedPageBreak/>
        <w:t>Introdução às normas do Direito Brasileiro). Tal adágio é de simples raciocínio: ao juiz cabe solucion</w:t>
      </w:r>
      <w:r w:rsidR="008D4916" w:rsidRPr="000308E0">
        <w:rPr>
          <w:rFonts w:ascii="Times New Roman" w:hAnsi="Times New Roman" w:cs="Times New Roman"/>
          <w:sz w:val="24"/>
          <w:szCs w:val="24"/>
        </w:rPr>
        <w:t>ar o problema, seja com Lei, seja sem L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ei. </w:t>
      </w:r>
    </w:p>
    <w:p w:rsidR="008D4916" w:rsidRPr="000308E0" w:rsidRDefault="00823EFB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Assim, aponto</w:t>
      </w:r>
      <w:r w:rsidR="008D4916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sz w:val="24"/>
          <w:szCs w:val="24"/>
        </w:rPr>
        <w:t xml:space="preserve">soluções </w:t>
      </w:r>
      <w:r w:rsidR="008D4916" w:rsidRPr="000308E0">
        <w:rPr>
          <w:rFonts w:ascii="Times New Roman" w:hAnsi="Times New Roman" w:cs="Times New Roman"/>
          <w:sz w:val="24"/>
          <w:szCs w:val="24"/>
        </w:rPr>
        <w:t>à</w:t>
      </w:r>
      <w:r w:rsidRPr="000308E0">
        <w:rPr>
          <w:rFonts w:ascii="Times New Roman" w:hAnsi="Times New Roman" w:cs="Times New Roman"/>
          <w:sz w:val="24"/>
          <w:szCs w:val="24"/>
        </w:rPr>
        <w:t xml:space="preserve"> questão:</w:t>
      </w:r>
    </w:p>
    <w:p w:rsidR="008D4916" w:rsidRPr="000308E0" w:rsidRDefault="008D4916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De início, a humildade de reconhecer que precisamos trabalhar em rede, dialogando entre os atores do Estado de Direito, independentemente de qual Poder seja, pois aos olhos da sociedade somo</w:t>
      </w:r>
      <w:r w:rsidR="00D943A0" w:rsidRPr="000308E0">
        <w:rPr>
          <w:rFonts w:ascii="Times New Roman" w:hAnsi="Times New Roman" w:cs="Times New Roman"/>
          <w:sz w:val="24"/>
          <w:szCs w:val="24"/>
        </w:rPr>
        <w:t>s</w:t>
      </w:r>
      <w:r w:rsidRPr="0003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8E0">
        <w:rPr>
          <w:rFonts w:ascii="Times New Roman" w:hAnsi="Times New Roman" w:cs="Times New Roman"/>
          <w:sz w:val="24"/>
          <w:szCs w:val="24"/>
        </w:rPr>
        <w:t>todos Estado</w:t>
      </w:r>
      <w:proofErr w:type="gramEnd"/>
      <w:r w:rsidRPr="0003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EFB" w:rsidRPr="000308E0" w:rsidRDefault="008D4916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 xml:space="preserve">Empós, </w:t>
      </w:r>
      <w:r w:rsidR="00823EFB" w:rsidRPr="000308E0">
        <w:rPr>
          <w:rFonts w:ascii="Times New Roman" w:hAnsi="Times New Roman" w:cs="Times New Roman"/>
          <w:sz w:val="24"/>
          <w:szCs w:val="24"/>
        </w:rPr>
        <w:t>o reconhecimento que os usuários severos e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 os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usuários-traficantes</w:t>
      </w:r>
      <w:r w:rsidRPr="000308E0">
        <w:rPr>
          <w:rFonts w:ascii="Times New Roman" w:hAnsi="Times New Roman" w:cs="Times New Roman"/>
          <w:sz w:val="24"/>
          <w:szCs w:val="24"/>
        </w:rPr>
        <w:t>-dependentes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sejam </w:t>
      </w:r>
      <w:r w:rsidR="00BD6E69" w:rsidRPr="000308E0">
        <w:rPr>
          <w:rFonts w:ascii="Times New Roman" w:hAnsi="Times New Roman" w:cs="Times New Roman"/>
          <w:sz w:val="24"/>
          <w:szCs w:val="24"/>
        </w:rPr>
        <w:t>classificados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como </w:t>
      </w:r>
      <w:r w:rsidR="00823EFB" w:rsidRPr="000308E0">
        <w:rPr>
          <w:rFonts w:ascii="Times New Roman" w:hAnsi="Times New Roman" w:cs="Times New Roman"/>
          <w:b/>
          <w:sz w:val="24"/>
          <w:szCs w:val="24"/>
        </w:rPr>
        <w:t>doentes mentais</w:t>
      </w:r>
      <w:r w:rsidR="00823EFB" w:rsidRPr="000308E0">
        <w:rPr>
          <w:rFonts w:ascii="Times New Roman" w:hAnsi="Times New Roman" w:cs="Times New Roman"/>
          <w:sz w:val="24"/>
          <w:szCs w:val="24"/>
        </w:rPr>
        <w:t>, para isto o juízo poderá contar com a equipe multidisciplinar</w:t>
      </w:r>
      <w:r w:rsidRPr="000308E0">
        <w:rPr>
          <w:rFonts w:ascii="Times New Roman" w:hAnsi="Times New Roman" w:cs="Times New Roman"/>
          <w:sz w:val="24"/>
          <w:szCs w:val="24"/>
        </w:rPr>
        <w:t>,</w:t>
      </w:r>
      <w:r w:rsidR="00BD6E69" w:rsidRPr="000308E0">
        <w:rPr>
          <w:rFonts w:ascii="Times New Roman" w:hAnsi="Times New Roman" w:cs="Times New Roman"/>
          <w:sz w:val="24"/>
          <w:szCs w:val="24"/>
        </w:rPr>
        <w:t xml:space="preserve"> que é posta à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sua disposição pelo TJMT, e 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que 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não me venham com aquela velha história 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de </w:t>
      </w:r>
      <w:r w:rsidR="00823EFB" w:rsidRPr="000308E0">
        <w:rPr>
          <w:rFonts w:ascii="Times New Roman" w:hAnsi="Times New Roman" w:cs="Times New Roman"/>
          <w:sz w:val="24"/>
          <w:szCs w:val="24"/>
        </w:rPr>
        <w:t>que no interior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 do Estado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não existe</w:t>
      </w:r>
      <w:r w:rsidRPr="000308E0">
        <w:rPr>
          <w:rFonts w:ascii="Times New Roman" w:hAnsi="Times New Roman" w:cs="Times New Roman"/>
          <w:sz w:val="24"/>
          <w:szCs w:val="24"/>
        </w:rPr>
        <w:t>m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profissionais, porque já jurisdici</w:t>
      </w:r>
      <w:r w:rsidRPr="000308E0">
        <w:rPr>
          <w:rFonts w:ascii="Times New Roman" w:hAnsi="Times New Roman" w:cs="Times New Roman"/>
          <w:sz w:val="24"/>
          <w:szCs w:val="24"/>
        </w:rPr>
        <w:t>onei na cidade de menor IDH do E</w:t>
      </w:r>
      <w:r w:rsidR="00823EFB" w:rsidRPr="000308E0">
        <w:rPr>
          <w:rFonts w:ascii="Times New Roman" w:hAnsi="Times New Roman" w:cs="Times New Roman"/>
          <w:sz w:val="24"/>
          <w:szCs w:val="24"/>
        </w:rPr>
        <w:t>stado, e lá existia</w:t>
      </w:r>
      <w:r w:rsidR="00BD6E69" w:rsidRPr="000308E0">
        <w:rPr>
          <w:rFonts w:ascii="Times New Roman" w:hAnsi="Times New Roman" w:cs="Times New Roman"/>
          <w:sz w:val="24"/>
          <w:szCs w:val="24"/>
        </w:rPr>
        <w:t>,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pelo menos </w:t>
      </w:r>
      <w:r w:rsidRPr="000308E0">
        <w:rPr>
          <w:rFonts w:ascii="Times New Roman" w:hAnsi="Times New Roman" w:cs="Times New Roman"/>
          <w:sz w:val="24"/>
          <w:szCs w:val="24"/>
        </w:rPr>
        <w:t>mantida pela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prefeitura</w:t>
      </w:r>
      <w:r w:rsidR="00BD6E69" w:rsidRPr="000308E0">
        <w:rPr>
          <w:rFonts w:ascii="Times New Roman" w:hAnsi="Times New Roman" w:cs="Times New Roman"/>
          <w:sz w:val="24"/>
          <w:szCs w:val="24"/>
        </w:rPr>
        <w:t>,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uma equipe mínima</w:t>
      </w:r>
      <w:r w:rsidR="00BD6E69" w:rsidRPr="000308E0">
        <w:rPr>
          <w:rFonts w:ascii="Times New Roman" w:hAnsi="Times New Roman" w:cs="Times New Roman"/>
          <w:sz w:val="24"/>
          <w:szCs w:val="24"/>
        </w:rPr>
        <w:t xml:space="preserve"> de saúde,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capaz de detectar o problema.</w:t>
      </w:r>
    </w:p>
    <w:p w:rsidR="00290B5C" w:rsidRPr="000308E0" w:rsidRDefault="00E76447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Necessário, também,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sz w:val="24"/>
          <w:szCs w:val="24"/>
        </w:rPr>
        <w:t xml:space="preserve">a </w:t>
      </w:r>
      <w:r w:rsidR="00823EFB" w:rsidRPr="000308E0">
        <w:rPr>
          <w:rFonts w:ascii="Times New Roman" w:hAnsi="Times New Roman" w:cs="Times New Roman"/>
          <w:sz w:val="24"/>
          <w:szCs w:val="24"/>
        </w:rPr>
        <w:t>assunção pelo Governo do Esta</w:t>
      </w:r>
      <w:r w:rsidR="008D4916" w:rsidRPr="000308E0">
        <w:rPr>
          <w:rFonts w:ascii="Times New Roman" w:hAnsi="Times New Roman" w:cs="Times New Roman"/>
          <w:sz w:val="24"/>
          <w:szCs w:val="24"/>
        </w:rPr>
        <w:t>do de Mato Grosso, por meio da S</w:t>
      </w:r>
      <w:r w:rsidR="00823EFB" w:rsidRPr="000308E0">
        <w:rPr>
          <w:rFonts w:ascii="Times New Roman" w:hAnsi="Times New Roman" w:cs="Times New Roman"/>
          <w:sz w:val="24"/>
          <w:szCs w:val="24"/>
        </w:rPr>
        <w:t>ecretari</w:t>
      </w:r>
      <w:r w:rsidR="008D4916" w:rsidRPr="000308E0">
        <w:rPr>
          <w:rFonts w:ascii="Times New Roman" w:hAnsi="Times New Roman" w:cs="Times New Roman"/>
          <w:sz w:val="24"/>
          <w:szCs w:val="24"/>
        </w:rPr>
        <w:t>a Estadual de S</w:t>
      </w:r>
      <w:r w:rsidR="00823EFB" w:rsidRPr="000308E0">
        <w:rPr>
          <w:rFonts w:ascii="Times New Roman" w:hAnsi="Times New Roman" w:cs="Times New Roman"/>
          <w:sz w:val="24"/>
          <w:szCs w:val="24"/>
        </w:rPr>
        <w:t>aúde, das casas terapêuticas co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mo </w:t>
      </w:r>
      <w:r w:rsidR="008D4916" w:rsidRPr="000308E0">
        <w:rPr>
          <w:rFonts w:ascii="Times New Roman" w:hAnsi="Times New Roman" w:cs="Times New Roman"/>
          <w:sz w:val="24"/>
          <w:szCs w:val="24"/>
        </w:rPr>
        <w:t>estabelecimentos de saúde</w:t>
      </w:r>
      <w:r w:rsidR="001D68F2" w:rsidRPr="000308E0">
        <w:rPr>
          <w:rFonts w:ascii="Times New Roman" w:hAnsi="Times New Roman" w:cs="Times New Roman"/>
          <w:sz w:val="24"/>
          <w:szCs w:val="24"/>
        </w:rPr>
        <w:t>,</w:t>
      </w:r>
      <w:r w:rsidR="00823EFB" w:rsidRPr="000308E0">
        <w:rPr>
          <w:rFonts w:ascii="Times New Roman" w:hAnsi="Times New Roman" w:cs="Times New Roman"/>
          <w:sz w:val="24"/>
          <w:szCs w:val="24"/>
        </w:rPr>
        <w:t xml:space="preserve"> capacitando-as como centro de recuperação de dependentes</w:t>
      </w:r>
      <w:r w:rsidR="001D68F2" w:rsidRPr="000308E0">
        <w:rPr>
          <w:rFonts w:ascii="Times New Roman" w:hAnsi="Times New Roman" w:cs="Times New Roman"/>
          <w:sz w:val="24"/>
          <w:szCs w:val="24"/>
        </w:rPr>
        <w:t>, devendo a elas inclusive dar aporte financeiro e funcional para seu funcionamento, devendo existir uma casa terapêutica no mínimo em cada região polo do Estado.</w:t>
      </w:r>
    </w:p>
    <w:p w:rsidR="001D68F2" w:rsidRPr="000308E0" w:rsidRDefault="00E76447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Do ponto de vista legal sugiro que</w:t>
      </w:r>
      <w:r w:rsidR="00290B5C" w:rsidRPr="000308E0">
        <w:rPr>
          <w:rFonts w:ascii="Times New Roman" w:hAnsi="Times New Roman" w:cs="Times New Roman"/>
          <w:sz w:val="24"/>
          <w:szCs w:val="24"/>
        </w:rPr>
        <w:t xml:space="preserve"> o Poder Legislativo assuma a opção política de classificar as comunidades terapêuticas como estabelecimentos de saúde, por meio de Lei </w:t>
      </w:r>
      <w:r w:rsidRPr="000308E0">
        <w:rPr>
          <w:rFonts w:ascii="Times New Roman" w:hAnsi="Times New Roman" w:cs="Times New Roman"/>
          <w:sz w:val="24"/>
          <w:szCs w:val="24"/>
        </w:rPr>
        <w:t xml:space="preserve">a ser devidamente regulamentada pelo Poder Executivo. </w:t>
      </w:r>
    </w:p>
    <w:p w:rsidR="00290B5C" w:rsidRPr="000308E0" w:rsidRDefault="00290B5C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Por fim,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="000B6140" w:rsidRPr="000308E0">
        <w:rPr>
          <w:rFonts w:ascii="Times New Roman" w:hAnsi="Times New Roman" w:cs="Times New Roman"/>
          <w:sz w:val="24"/>
          <w:szCs w:val="24"/>
        </w:rPr>
        <w:t xml:space="preserve">no que tange ao Judiciário </w:t>
      </w:r>
      <w:r w:rsidR="001D68F2" w:rsidRPr="000308E0">
        <w:rPr>
          <w:rFonts w:ascii="Times New Roman" w:hAnsi="Times New Roman" w:cs="Times New Roman"/>
          <w:sz w:val="24"/>
          <w:szCs w:val="24"/>
        </w:rPr>
        <w:t>a</w:t>
      </w:r>
      <w:r w:rsidR="00E76447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="001D68F2" w:rsidRPr="000308E0">
        <w:rPr>
          <w:rFonts w:ascii="Times New Roman" w:hAnsi="Times New Roman" w:cs="Times New Roman"/>
          <w:sz w:val="24"/>
          <w:szCs w:val="24"/>
        </w:rPr>
        <w:t>regulamentação pela Corregedoria</w:t>
      </w:r>
      <w:r w:rsidR="00E76447" w:rsidRPr="000308E0">
        <w:rPr>
          <w:rFonts w:ascii="Times New Roman" w:hAnsi="Times New Roman" w:cs="Times New Roman"/>
          <w:sz w:val="24"/>
          <w:szCs w:val="24"/>
        </w:rPr>
        <w:t xml:space="preserve"> Geral</w:t>
      </w:r>
      <w:r w:rsidRPr="000308E0">
        <w:rPr>
          <w:rFonts w:ascii="Times New Roman" w:hAnsi="Times New Roman" w:cs="Times New Roman"/>
          <w:sz w:val="24"/>
          <w:szCs w:val="24"/>
        </w:rPr>
        <w:t xml:space="preserve"> de Justiça</w:t>
      </w:r>
      <w:r w:rsidR="00243FE9" w:rsidRPr="000308E0">
        <w:rPr>
          <w:rFonts w:ascii="Times New Roman" w:hAnsi="Times New Roman" w:cs="Times New Roman"/>
          <w:sz w:val="24"/>
          <w:szCs w:val="24"/>
        </w:rPr>
        <w:t xml:space="preserve"> do TJMT, à 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possibilidade de que o dinheiro proveniente de transações penais, suspensões condicionais do processo e outros, </w:t>
      </w:r>
      <w:r w:rsidR="00771E4D" w:rsidRPr="000308E0">
        <w:rPr>
          <w:rFonts w:ascii="Times New Roman" w:hAnsi="Times New Roman" w:cs="Times New Roman"/>
          <w:sz w:val="24"/>
          <w:szCs w:val="24"/>
        </w:rPr>
        <w:t>seja</w:t>
      </w:r>
      <w:r w:rsidR="00E76447" w:rsidRPr="000308E0">
        <w:rPr>
          <w:rFonts w:ascii="Times New Roman" w:hAnsi="Times New Roman" w:cs="Times New Roman"/>
          <w:sz w:val="24"/>
          <w:szCs w:val="24"/>
        </w:rPr>
        <w:t>m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="00243FE9" w:rsidRPr="000308E0">
        <w:rPr>
          <w:rFonts w:ascii="Times New Roman" w:hAnsi="Times New Roman" w:cs="Times New Roman"/>
          <w:sz w:val="24"/>
          <w:szCs w:val="24"/>
        </w:rPr>
        <w:t xml:space="preserve">discricionariamente </w:t>
      </w:r>
      <w:proofErr w:type="gramStart"/>
      <w:r w:rsidR="001D68F2" w:rsidRPr="000308E0">
        <w:rPr>
          <w:rFonts w:ascii="Times New Roman" w:hAnsi="Times New Roman" w:cs="Times New Roman"/>
          <w:sz w:val="24"/>
          <w:szCs w:val="24"/>
        </w:rPr>
        <w:t>direcionado</w:t>
      </w:r>
      <w:proofErr w:type="gramEnd"/>
      <w:r w:rsidR="00243FE9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sz w:val="24"/>
          <w:szCs w:val="24"/>
        </w:rPr>
        <w:t>ao Fundo E</w:t>
      </w:r>
      <w:r w:rsidR="00E76447" w:rsidRPr="000308E0">
        <w:rPr>
          <w:rFonts w:ascii="Times New Roman" w:hAnsi="Times New Roman" w:cs="Times New Roman"/>
          <w:sz w:val="24"/>
          <w:szCs w:val="24"/>
        </w:rPr>
        <w:t>stadual de C</w:t>
      </w:r>
      <w:r w:rsidR="000B6140" w:rsidRPr="000308E0">
        <w:rPr>
          <w:rFonts w:ascii="Times New Roman" w:hAnsi="Times New Roman" w:cs="Times New Roman"/>
          <w:sz w:val="24"/>
          <w:szCs w:val="24"/>
        </w:rPr>
        <w:t>ombate às D</w:t>
      </w:r>
      <w:r w:rsidR="001D68F2" w:rsidRPr="000308E0">
        <w:rPr>
          <w:rFonts w:ascii="Times New Roman" w:hAnsi="Times New Roman" w:cs="Times New Roman"/>
          <w:sz w:val="24"/>
          <w:szCs w:val="24"/>
        </w:rPr>
        <w:t>rogas,</w:t>
      </w:r>
      <w:r w:rsidR="00243FE9" w:rsidRPr="000308E0">
        <w:rPr>
          <w:rFonts w:ascii="Times New Roman" w:hAnsi="Times New Roman" w:cs="Times New Roman"/>
          <w:sz w:val="24"/>
          <w:szCs w:val="24"/>
        </w:rPr>
        <w:t xml:space="preserve"> (e por se tratar de fundo público</w:t>
      </w:r>
      <w:r w:rsidRPr="000308E0">
        <w:rPr>
          <w:rFonts w:ascii="Times New Roman" w:hAnsi="Times New Roman" w:cs="Times New Roman"/>
          <w:sz w:val="24"/>
          <w:szCs w:val="24"/>
        </w:rPr>
        <w:t>,</w:t>
      </w:r>
      <w:r w:rsidR="00243FE9" w:rsidRPr="000308E0">
        <w:rPr>
          <w:rFonts w:ascii="Times New Roman" w:hAnsi="Times New Roman" w:cs="Times New Roman"/>
          <w:sz w:val="24"/>
          <w:szCs w:val="24"/>
        </w:rPr>
        <w:t xml:space="preserve"> não vejo a incidência da vedação posta pela resolução 154 do CNJ) que deverá ser vinculado a </w:t>
      </w:r>
      <w:r w:rsidR="00771E4D" w:rsidRPr="000308E0">
        <w:rPr>
          <w:rFonts w:ascii="Times New Roman" w:hAnsi="Times New Roman" w:cs="Times New Roman"/>
          <w:sz w:val="24"/>
          <w:szCs w:val="24"/>
        </w:rPr>
        <w:t>S</w:t>
      </w:r>
      <w:r w:rsidR="00243FE9" w:rsidRPr="000308E0">
        <w:rPr>
          <w:rFonts w:ascii="Times New Roman" w:hAnsi="Times New Roman" w:cs="Times New Roman"/>
          <w:sz w:val="24"/>
          <w:szCs w:val="24"/>
        </w:rPr>
        <w:t>ecretaria de</w:t>
      </w:r>
      <w:r w:rsidR="00771E4D" w:rsidRPr="000308E0">
        <w:rPr>
          <w:rFonts w:ascii="Times New Roman" w:hAnsi="Times New Roman" w:cs="Times New Roman"/>
          <w:sz w:val="24"/>
          <w:szCs w:val="24"/>
        </w:rPr>
        <w:t xml:space="preserve"> Estado de S</w:t>
      </w:r>
      <w:r w:rsidR="00243FE9" w:rsidRPr="000308E0">
        <w:rPr>
          <w:rFonts w:ascii="Times New Roman" w:hAnsi="Times New Roman" w:cs="Times New Roman"/>
          <w:sz w:val="24"/>
          <w:szCs w:val="24"/>
        </w:rPr>
        <w:t>aúde,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 para o fomento destas unidad</w:t>
      </w:r>
      <w:r w:rsidRPr="000308E0">
        <w:rPr>
          <w:rFonts w:ascii="Times New Roman" w:hAnsi="Times New Roman" w:cs="Times New Roman"/>
          <w:sz w:val="24"/>
          <w:szCs w:val="24"/>
        </w:rPr>
        <w:t>es de tratamento, podendo os Juízes</w:t>
      </w:r>
      <w:r w:rsidR="00E76447" w:rsidRPr="000308E0">
        <w:rPr>
          <w:rFonts w:ascii="Times New Roman" w:hAnsi="Times New Roman" w:cs="Times New Roman"/>
          <w:sz w:val="24"/>
          <w:szCs w:val="24"/>
        </w:rPr>
        <w:t>,</w:t>
      </w:r>
      <w:r w:rsidRPr="000308E0">
        <w:rPr>
          <w:rFonts w:ascii="Times New Roman" w:hAnsi="Times New Roman" w:cs="Times New Roman"/>
          <w:sz w:val="24"/>
          <w:szCs w:val="24"/>
        </w:rPr>
        <w:t xml:space="preserve"> com o indispensável apoio do Ministério Público,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 direcionar diretamente o dinheiro</w:t>
      </w:r>
      <w:r w:rsidR="00E76447" w:rsidRPr="000308E0">
        <w:rPr>
          <w:rFonts w:ascii="Times New Roman" w:hAnsi="Times New Roman" w:cs="Times New Roman"/>
          <w:sz w:val="24"/>
          <w:szCs w:val="24"/>
        </w:rPr>
        <w:t xml:space="preserve"> ao fundo estadual</w:t>
      </w:r>
      <w:r w:rsidR="00771E4D" w:rsidRPr="000308E0">
        <w:rPr>
          <w:rFonts w:ascii="Times New Roman" w:hAnsi="Times New Roman" w:cs="Times New Roman"/>
          <w:sz w:val="24"/>
          <w:szCs w:val="24"/>
        </w:rPr>
        <w:t>,</w:t>
      </w:r>
      <w:r w:rsidR="001D68F2" w:rsidRPr="000308E0">
        <w:rPr>
          <w:rFonts w:ascii="Times New Roman" w:hAnsi="Times New Roman" w:cs="Times New Roman"/>
          <w:sz w:val="24"/>
          <w:szCs w:val="24"/>
        </w:rPr>
        <w:t xml:space="preserve"> por se tratar de fundo público</w:t>
      </w:r>
      <w:r w:rsidR="00243FE9" w:rsidRPr="000308E0">
        <w:rPr>
          <w:rFonts w:ascii="Times New Roman" w:hAnsi="Times New Roman" w:cs="Times New Roman"/>
          <w:sz w:val="24"/>
          <w:szCs w:val="24"/>
        </w:rPr>
        <w:t xml:space="preserve">, desde que </w:t>
      </w:r>
      <w:r w:rsidR="00124ED7" w:rsidRPr="000308E0">
        <w:rPr>
          <w:rFonts w:ascii="Times New Roman" w:hAnsi="Times New Roman" w:cs="Times New Roman"/>
          <w:sz w:val="24"/>
          <w:szCs w:val="24"/>
        </w:rPr>
        <w:t>o</w:t>
      </w:r>
      <w:r w:rsidRPr="000308E0">
        <w:rPr>
          <w:rFonts w:ascii="Times New Roman" w:hAnsi="Times New Roman" w:cs="Times New Roman"/>
          <w:sz w:val="24"/>
          <w:szCs w:val="24"/>
        </w:rPr>
        <w:t xml:space="preserve"> Poder E</w:t>
      </w:r>
      <w:r w:rsidR="00124ED7" w:rsidRPr="000308E0">
        <w:rPr>
          <w:rFonts w:ascii="Times New Roman" w:hAnsi="Times New Roman" w:cs="Times New Roman"/>
          <w:sz w:val="24"/>
          <w:szCs w:val="24"/>
        </w:rPr>
        <w:t>xecutivo</w:t>
      </w:r>
      <w:r w:rsidR="000B6140" w:rsidRPr="000308E0">
        <w:rPr>
          <w:rFonts w:ascii="Times New Roman" w:hAnsi="Times New Roman" w:cs="Times New Roman"/>
          <w:sz w:val="24"/>
          <w:szCs w:val="24"/>
        </w:rPr>
        <w:t xml:space="preserve"> gestor do sistema</w:t>
      </w:r>
      <w:r w:rsidR="00124ED7" w:rsidRPr="000308E0">
        <w:rPr>
          <w:rFonts w:ascii="Times New Roman" w:hAnsi="Times New Roman" w:cs="Times New Roman"/>
          <w:sz w:val="24"/>
          <w:szCs w:val="24"/>
        </w:rPr>
        <w:t xml:space="preserve"> gara</w:t>
      </w:r>
      <w:r w:rsidRPr="000308E0">
        <w:rPr>
          <w:rFonts w:ascii="Times New Roman" w:hAnsi="Times New Roman" w:cs="Times New Roman"/>
          <w:sz w:val="24"/>
          <w:szCs w:val="24"/>
        </w:rPr>
        <w:t>nta vaga àquela comarca da onde</w:t>
      </w:r>
      <w:r w:rsidR="00124ED7" w:rsidRPr="000308E0">
        <w:rPr>
          <w:rFonts w:ascii="Times New Roman" w:hAnsi="Times New Roman" w:cs="Times New Roman"/>
          <w:sz w:val="24"/>
          <w:szCs w:val="24"/>
        </w:rPr>
        <w:t xml:space="preserve"> o doente/dependente seja oriundo. </w:t>
      </w:r>
    </w:p>
    <w:p w:rsidR="000308E0" w:rsidRDefault="00290B5C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Finalizando, para o sucesso da empreitada temos que</w:t>
      </w:r>
      <w:r w:rsidR="00BD6E69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sz w:val="24"/>
          <w:szCs w:val="24"/>
        </w:rPr>
        <w:t>fazer algo diferente daquilo que os</w:t>
      </w:r>
      <w:r w:rsidR="00BD6E69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Pr="000308E0">
        <w:rPr>
          <w:rFonts w:ascii="Times New Roman" w:hAnsi="Times New Roman" w:cs="Times New Roman"/>
          <w:sz w:val="24"/>
          <w:szCs w:val="24"/>
        </w:rPr>
        <w:t xml:space="preserve">outros fazem ou daquilo que tem </w:t>
      </w:r>
      <w:r w:rsidR="00771E4D" w:rsidRPr="000308E0">
        <w:rPr>
          <w:rFonts w:ascii="Times New Roman" w:hAnsi="Times New Roman" w:cs="Times New Roman"/>
          <w:sz w:val="24"/>
          <w:szCs w:val="24"/>
        </w:rPr>
        <w:t xml:space="preserve">sido </w:t>
      </w:r>
      <w:r w:rsidRPr="000308E0">
        <w:rPr>
          <w:rFonts w:ascii="Times New Roman" w:hAnsi="Times New Roman" w:cs="Times New Roman"/>
          <w:sz w:val="24"/>
          <w:szCs w:val="24"/>
        </w:rPr>
        <w:t>feito até ao momento. Propor-nos a sacrifícios</w:t>
      </w:r>
      <w:r w:rsidR="00BD6E69" w:rsidRPr="000308E0">
        <w:rPr>
          <w:rFonts w:ascii="Times New Roman" w:hAnsi="Times New Roman" w:cs="Times New Roman"/>
          <w:sz w:val="24"/>
          <w:szCs w:val="24"/>
        </w:rPr>
        <w:t>,</w:t>
      </w:r>
      <w:r w:rsidRPr="000308E0">
        <w:rPr>
          <w:rFonts w:ascii="Times New Roman" w:hAnsi="Times New Roman" w:cs="Times New Roman"/>
          <w:sz w:val="24"/>
          <w:szCs w:val="24"/>
        </w:rPr>
        <w:t xml:space="preserve"> que exigem de nós esforço e </w:t>
      </w:r>
      <w:hyperlink r:id="rId8" w:tgtFrame="_blank" w:tooltip="motivação" w:history="1">
        <w:r w:rsidRPr="000308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motivação</w:t>
        </w:r>
      </w:hyperlink>
      <w:r w:rsidRPr="0003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8E0">
        <w:rPr>
          <w:rFonts w:ascii="Times New Roman" w:hAnsi="Times New Roman" w:cs="Times New Roman"/>
          <w:sz w:val="24"/>
          <w:szCs w:val="24"/>
        </w:rPr>
        <w:t>acrescidos</w:t>
      </w:r>
      <w:proofErr w:type="gramEnd"/>
      <w:r w:rsidR="00BD6E69" w:rsidRPr="000308E0">
        <w:rPr>
          <w:rFonts w:ascii="Times New Roman" w:hAnsi="Times New Roman" w:cs="Times New Roman"/>
          <w:sz w:val="24"/>
          <w:szCs w:val="24"/>
        </w:rPr>
        <w:t>,</w:t>
      </w:r>
      <w:r w:rsidRPr="000308E0">
        <w:rPr>
          <w:rFonts w:ascii="Times New Roman" w:hAnsi="Times New Roman" w:cs="Times New Roman"/>
          <w:sz w:val="24"/>
          <w:szCs w:val="24"/>
        </w:rPr>
        <w:t xml:space="preserve"> é algo que tem de ser suportado pelo valor atribuído ao crescimento e desenvolvimento pessoal.</w:t>
      </w:r>
    </w:p>
    <w:p w:rsidR="000308E0" w:rsidRPr="000308E0" w:rsidRDefault="00771E4D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08E0">
        <w:rPr>
          <w:rFonts w:ascii="Times New Roman" w:hAnsi="Times New Roman" w:cs="Times New Roman"/>
          <w:sz w:val="24"/>
          <w:szCs w:val="24"/>
        </w:rPr>
        <w:lastRenderedPageBreak/>
        <w:t xml:space="preserve">Vamos </w:t>
      </w:r>
      <w:r w:rsidR="00290B5C" w:rsidRPr="000308E0">
        <w:rPr>
          <w:rFonts w:ascii="Times New Roman" w:hAnsi="Times New Roman" w:cs="Times New Roman"/>
          <w:sz w:val="24"/>
          <w:szCs w:val="24"/>
        </w:rPr>
        <w:t xml:space="preserve">sair </w:t>
      </w:r>
      <w:r w:rsidRPr="000308E0">
        <w:rPr>
          <w:rFonts w:ascii="Times New Roman" w:hAnsi="Times New Roman" w:cs="Times New Roman"/>
          <w:sz w:val="24"/>
          <w:szCs w:val="24"/>
        </w:rPr>
        <w:t xml:space="preserve">da nossa </w:t>
      </w:r>
      <w:r w:rsidR="00290B5C" w:rsidRPr="000308E0">
        <w:rPr>
          <w:rFonts w:ascii="Times New Roman" w:hAnsi="Times New Roman" w:cs="Times New Roman"/>
          <w:sz w:val="24"/>
          <w:szCs w:val="24"/>
        </w:rPr>
        <w:t xml:space="preserve">zona de conforto </w:t>
      </w:r>
      <w:r w:rsidRPr="000308E0">
        <w:rPr>
          <w:rFonts w:ascii="Times New Roman" w:hAnsi="Times New Roman" w:cs="Times New Roman"/>
          <w:sz w:val="24"/>
          <w:szCs w:val="24"/>
        </w:rPr>
        <w:t xml:space="preserve">e </w:t>
      </w:r>
      <w:r w:rsidR="00290B5C" w:rsidRPr="000308E0">
        <w:rPr>
          <w:rFonts w:ascii="Times New Roman" w:hAnsi="Times New Roman" w:cs="Times New Roman"/>
          <w:sz w:val="24"/>
          <w:szCs w:val="24"/>
        </w:rPr>
        <w:t>fazer as coisas de forma</w:t>
      </w:r>
      <w:r w:rsidR="00BD6E69" w:rsidRPr="000308E0">
        <w:rPr>
          <w:rFonts w:ascii="Times New Roman" w:hAnsi="Times New Roman" w:cs="Times New Roman"/>
          <w:sz w:val="24"/>
          <w:szCs w:val="24"/>
        </w:rPr>
        <w:t xml:space="preserve"> </w:t>
      </w:r>
      <w:r w:rsidR="00290B5C" w:rsidRPr="000308E0">
        <w:rPr>
          <w:rFonts w:ascii="Times New Roman" w:hAnsi="Times New Roman" w:cs="Times New Roman"/>
          <w:sz w:val="24"/>
          <w:szCs w:val="24"/>
        </w:rPr>
        <w:t xml:space="preserve">diferente, daquilo que tem </w:t>
      </w:r>
      <w:r w:rsidRPr="000308E0">
        <w:rPr>
          <w:rFonts w:ascii="Times New Roman" w:hAnsi="Times New Roman" w:cs="Times New Roman"/>
          <w:sz w:val="24"/>
          <w:szCs w:val="24"/>
        </w:rPr>
        <w:t xml:space="preserve">sido </w:t>
      </w:r>
      <w:r w:rsidR="00290B5C" w:rsidRPr="000308E0">
        <w:rPr>
          <w:rFonts w:ascii="Times New Roman" w:hAnsi="Times New Roman" w:cs="Times New Roman"/>
          <w:sz w:val="24"/>
          <w:szCs w:val="24"/>
        </w:rPr>
        <w:t xml:space="preserve">feito, ou do que os outros têm feito. Por vezes </w:t>
      </w:r>
      <w:r w:rsidRPr="000308E0">
        <w:rPr>
          <w:rFonts w:ascii="Times New Roman" w:hAnsi="Times New Roman" w:cs="Times New Roman"/>
          <w:sz w:val="24"/>
          <w:szCs w:val="24"/>
        </w:rPr>
        <w:t xml:space="preserve">necessitamos </w:t>
      </w:r>
      <w:r w:rsidR="00290B5C" w:rsidRPr="000308E0">
        <w:rPr>
          <w:rFonts w:ascii="Times New Roman" w:hAnsi="Times New Roman" w:cs="Times New Roman"/>
          <w:sz w:val="24"/>
          <w:szCs w:val="24"/>
        </w:rPr>
        <w:t xml:space="preserve">de uma boa dose de </w:t>
      </w:r>
      <w:hyperlink r:id="rId9" w:tgtFrame="_blank" w:tooltip="criatividade" w:history="1">
        <w:r w:rsidR="00290B5C" w:rsidRPr="000308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criatividade</w:t>
        </w:r>
      </w:hyperlink>
      <w:r w:rsidR="00290B5C" w:rsidRPr="000308E0">
        <w:rPr>
          <w:rFonts w:ascii="Times New Roman" w:hAnsi="Times New Roman" w:cs="Times New Roman"/>
          <w:sz w:val="24"/>
          <w:szCs w:val="24"/>
        </w:rPr>
        <w:t xml:space="preserve"> e coragem</w:t>
      </w:r>
      <w:r w:rsidRPr="000308E0">
        <w:rPr>
          <w:rFonts w:ascii="Times New Roman" w:hAnsi="Times New Roman" w:cs="Times New Roman"/>
          <w:sz w:val="24"/>
          <w:szCs w:val="24"/>
        </w:rPr>
        <w:t xml:space="preserve"> para mudar a vida de pessoas sem vozes, </w:t>
      </w:r>
      <w:r w:rsidR="00E76447" w:rsidRPr="000308E0"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Pr="000308E0">
        <w:rPr>
          <w:rFonts w:ascii="Times New Roman" w:hAnsi="Times New Roman" w:cs="Times New Roman"/>
          <w:b/>
          <w:sz w:val="24"/>
          <w:szCs w:val="24"/>
        </w:rPr>
        <w:t>escravos das drogas</w:t>
      </w:r>
      <w:r w:rsidRPr="000308E0">
        <w:rPr>
          <w:rFonts w:ascii="Times New Roman" w:hAnsi="Times New Roman" w:cs="Times New Roman"/>
          <w:sz w:val="24"/>
          <w:szCs w:val="24"/>
        </w:rPr>
        <w:t>.</w:t>
      </w:r>
    </w:p>
    <w:p w:rsidR="000308E0" w:rsidRPr="000308E0" w:rsidRDefault="000308E0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0891" w:rsidRPr="000308E0" w:rsidRDefault="00C10891" w:rsidP="00771E4D">
      <w:pPr>
        <w:shd w:val="clear" w:color="auto" w:fill="FFFFFF"/>
        <w:spacing w:after="0" w:line="360" w:lineRule="auto"/>
        <w:ind w:firstLine="170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Diamantino/MT, 09/09/2016.</w:t>
      </w:r>
    </w:p>
    <w:p w:rsidR="00E76447" w:rsidRPr="000308E0" w:rsidRDefault="00E76447" w:rsidP="00C10891">
      <w:pPr>
        <w:shd w:val="clear" w:color="auto" w:fill="FFFFFF"/>
        <w:spacing w:after="0" w:line="360" w:lineRule="auto"/>
        <w:ind w:firstLine="170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6447" w:rsidRPr="000308E0" w:rsidRDefault="00E76447" w:rsidP="000308E0">
      <w:pPr>
        <w:shd w:val="clear" w:color="auto" w:fill="FFFFFF"/>
        <w:spacing w:after="0" w:line="360" w:lineRule="auto"/>
        <w:ind w:firstLine="170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308E0">
        <w:rPr>
          <w:rFonts w:ascii="Times New Roman" w:hAnsi="Times New Roman" w:cs="Times New Roman"/>
          <w:b/>
          <w:sz w:val="24"/>
          <w:szCs w:val="24"/>
        </w:rPr>
        <w:t>Raul Lara Leite</w:t>
      </w:r>
    </w:p>
    <w:p w:rsidR="00E76447" w:rsidRPr="000308E0" w:rsidRDefault="00E76447" w:rsidP="000308E0">
      <w:pPr>
        <w:shd w:val="clear" w:color="auto" w:fill="FFFFFF"/>
        <w:spacing w:after="0" w:line="360" w:lineRule="auto"/>
        <w:ind w:firstLine="1701"/>
        <w:textAlignment w:val="baseline"/>
        <w:rPr>
          <w:rFonts w:ascii="Times New Roman" w:hAnsi="Times New Roman" w:cs="Times New Roman"/>
          <w:sz w:val="24"/>
          <w:szCs w:val="24"/>
        </w:rPr>
      </w:pPr>
      <w:r w:rsidRPr="000308E0">
        <w:rPr>
          <w:rFonts w:ascii="Times New Roman" w:hAnsi="Times New Roman" w:cs="Times New Roman"/>
          <w:sz w:val="24"/>
          <w:szCs w:val="24"/>
        </w:rPr>
        <w:t>Juiz de Direito</w:t>
      </w:r>
    </w:p>
    <w:sectPr w:rsidR="00E76447" w:rsidRPr="000308E0" w:rsidSect="000308E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AA" w:rsidRDefault="00F824AA" w:rsidP="001401A3">
      <w:pPr>
        <w:spacing w:after="0" w:line="240" w:lineRule="auto"/>
      </w:pPr>
      <w:r>
        <w:separator/>
      </w:r>
    </w:p>
  </w:endnote>
  <w:endnote w:type="continuationSeparator" w:id="0">
    <w:p w:rsidR="00F824AA" w:rsidRDefault="00F824AA" w:rsidP="0014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AA" w:rsidRDefault="00F824AA" w:rsidP="001401A3">
      <w:pPr>
        <w:spacing w:after="0" w:line="240" w:lineRule="auto"/>
      </w:pPr>
      <w:r>
        <w:separator/>
      </w:r>
    </w:p>
  </w:footnote>
  <w:footnote w:type="continuationSeparator" w:id="0">
    <w:p w:rsidR="00F824AA" w:rsidRDefault="00F824AA" w:rsidP="001401A3">
      <w:pPr>
        <w:spacing w:after="0" w:line="240" w:lineRule="auto"/>
      </w:pPr>
      <w:r>
        <w:continuationSeparator/>
      </w:r>
    </w:p>
  </w:footnote>
  <w:footnote w:id="1">
    <w:p w:rsidR="008B0D05" w:rsidRDefault="008B0D05">
      <w:pPr>
        <w:pStyle w:val="Textodenotaderodap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 w:rsidRPr="00220FDB">
          <w:rPr>
            <w:rStyle w:val="Hyperlink"/>
          </w:rPr>
          <w:t>http://www.stf.jus.br/portal/cms/verNoticiaDetalhe.asp?idConteudo=299484</w:t>
        </w:r>
      </w:hyperlink>
      <w:r>
        <w:t xml:space="preserve"> </w:t>
      </w:r>
    </w:p>
  </w:footnote>
  <w:footnote w:id="2">
    <w:p w:rsidR="008B0D05" w:rsidRPr="005B07F5" w:rsidRDefault="008B0D05" w:rsidP="005B07F5">
      <w:pPr>
        <w:pStyle w:val="Textodenotaderodap"/>
        <w:spacing w:line="360" w:lineRule="auto"/>
        <w:jc w:val="both"/>
        <w:rPr>
          <w:rFonts w:ascii="Arial" w:hAnsi="Arial" w:cs="Arial"/>
        </w:rPr>
      </w:pPr>
      <w:r w:rsidRPr="005B07F5">
        <w:rPr>
          <w:rStyle w:val="Refdenotaderodap"/>
          <w:rFonts w:ascii="Arial" w:hAnsi="Arial" w:cs="Arial"/>
        </w:rPr>
        <w:footnoteRef/>
      </w:r>
      <w:r w:rsidRPr="005B07F5">
        <w:rPr>
          <w:rFonts w:ascii="Arial" w:hAnsi="Arial" w:cs="Arial"/>
        </w:rPr>
        <w:t xml:space="preserve"> Disponível em: http://www.clinicam</w:t>
      </w:r>
      <w:r>
        <w:rPr>
          <w:rFonts w:ascii="Arial" w:hAnsi="Arial" w:cs="Arial"/>
        </w:rPr>
        <w:t>aia.com.br/dependencia-quimica.</w:t>
      </w:r>
      <w:r w:rsidRPr="005B07F5">
        <w:rPr>
          <w:rFonts w:ascii="Arial" w:hAnsi="Arial" w:cs="Arial"/>
        </w:rPr>
        <w:t>php</w:t>
      </w:r>
    </w:p>
  </w:footnote>
  <w:footnote w:id="3">
    <w:p w:rsidR="008B0D05" w:rsidRDefault="008B0D05" w:rsidP="005A33F0">
      <w:pPr>
        <w:pStyle w:val="Textodenotaderodap"/>
        <w:spacing w:line="360" w:lineRule="auto"/>
        <w:jc w:val="both"/>
      </w:pPr>
      <w:r w:rsidRPr="005B07F5">
        <w:rPr>
          <w:rStyle w:val="Refdenotaderodap"/>
          <w:rFonts w:ascii="Arial" w:hAnsi="Arial" w:cs="Arial"/>
        </w:rPr>
        <w:footnoteRef/>
      </w:r>
      <w:r w:rsidRPr="005B07F5">
        <w:rPr>
          <w:rFonts w:ascii="Arial" w:hAnsi="Arial" w:cs="Arial"/>
        </w:rPr>
        <w:t xml:space="preserve"> </w:t>
      </w:r>
      <w:hyperlink r:id="rId2" w:history="1">
        <w:r w:rsidRPr="005B07F5">
          <w:rPr>
            <w:rStyle w:val="Hyperlink"/>
            <w:rFonts w:ascii="Arial" w:hAnsi="Arial" w:cs="Arial"/>
            <w:b/>
            <w:bCs/>
          </w:rPr>
          <w:t>Delma Perpétua Oliveira de Souza</w:t>
        </w:r>
      </w:hyperlink>
      <w:r w:rsidRPr="005B07F5">
        <w:rPr>
          <w:rFonts w:ascii="Arial" w:hAnsi="Arial" w:cs="Arial"/>
        </w:rPr>
        <w:t xml:space="preserve">  Doutorado em Pós-Graduação pelo Programa de Saúde Mental pela Universidade Federal de São Paulo Escola Paulista de Medicina, </w:t>
      </w:r>
      <w:r w:rsidR="00A015FA" w:rsidRPr="005B07F5">
        <w:rPr>
          <w:rFonts w:ascii="Arial" w:hAnsi="Arial" w:cs="Arial"/>
        </w:rPr>
        <w:t>Brasil (</w:t>
      </w:r>
      <w:r w:rsidRPr="005B07F5">
        <w:rPr>
          <w:rFonts w:ascii="Arial" w:hAnsi="Arial" w:cs="Arial"/>
        </w:rPr>
        <w:t>2006)</w:t>
      </w:r>
      <w:r w:rsidRPr="005B07F5">
        <w:rPr>
          <w:rFonts w:ascii="Arial" w:hAnsi="Arial" w:cs="Arial"/>
        </w:rPr>
        <w:br/>
        <w:t>Assistente Social da Universidade Federal de Mato Grosso , Brasil</w:t>
      </w:r>
    </w:p>
  </w:footnote>
  <w:footnote w:id="4">
    <w:p w:rsidR="008B0D05" w:rsidRPr="00D10AC0" w:rsidRDefault="008B0D05" w:rsidP="00D10AC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10AC0">
        <w:t>Então ele lhes disse: Dai pois a César o que é de César, e a Deus o que é de Deus.</w:t>
      </w:r>
      <w:r>
        <w:t xml:space="preserve"> (Palavras de Jesus).</w:t>
      </w:r>
      <w:r w:rsidRPr="00D10AC0">
        <w:br/>
      </w:r>
      <w:hyperlink r:id="rId3" w:history="1">
        <w:r w:rsidRPr="00D10AC0">
          <w:rPr>
            <w:rStyle w:val="Hyperlink"/>
          </w:rPr>
          <w:t>Mateus 22:21</w:t>
        </w:r>
      </w:hyperlink>
      <w:r w:rsidRPr="008476EE">
        <w:t xml:space="preserve"> </w:t>
      </w:r>
      <w:hyperlink r:id="rId4" w:history="1">
        <w:r w:rsidRPr="00220FDB">
          <w:rPr>
            <w:rStyle w:val="Hyperlink"/>
          </w:rPr>
          <w:t>https://www.bibliaonline.com.br/acf/mt/22</w:t>
        </w:r>
      </w:hyperlink>
      <w:r>
        <w:t xml:space="preserve">. </w:t>
      </w:r>
    </w:p>
    <w:p w:rsidR="008B0D05" w:rsidRDefault="008B0D05">
      <w:pPr>
        <w:pStyle w:val="Textodenotaderodap"/>
      </w:pPr>
    </w:p>
  </w:footnote>
  <w:footnote w:id="5">
    <w:p w:rsidR="008B0D05" w:rsidRDefault="008B0D0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8476EE">
        <w:t>http://legislacao.planalto.gov.br/legisla/legislacao.nsf/Viw_Identificacao/lei%2011.343-2006?OpenDocument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0D"/>
    <w:rsid w:val="000308E0"/>
    <w:rsid w:val="00047DB6"/>
    <w:rsid w:val="000B6140"/>
    <w:rsid w:val="00124ED7"/>
    <w:rsid w:val="001401A3"/>
    <w:rsid w:val="00147C6C"/>
    <w:rsid w:val="00157776"/>
    <w:rsid w:val="001A0A9D"/>
    <w:rsid w:val="001C046D"/>
    <w:rsid w:val="001D68F2"/>
    <w:rsid w:val="001F7E51"/>
    <w:rsid w:val="00243FE9"/>
    <w:rsid w:val="00250D36"/>
    <w:rsid w:val="00290B5C"/>
    <w:rsid w:val="0033735B"/>
    <w:rsid w:val="003B357A"/>
    <w:rsid w:val="004523DD"/>
    <w:rsid w:val="00462759"/>
    <w:rsid w:val="00471F1C"/>
    <w:rsid w:val="004B7FB9"/>
    <w:rsid w:val="005865DB"/>
    <w:rsid w:val="005938D9"/>
    <w:rsid w:val="005A33F0"/>
    <w:rsid w:val="005B07F5"/>
    <w:rsid w:val="006962EE"/>
    <w:rsid w:val="006B2100"/>
    <w:rsid w:val="006B77AE"/>
    <w:rsid w:val="006E2AC5"/>
    <w:rsid w:val="00771E4D"/>
    <w:rsid w:val="007B2C4C"/>
    <w:rsid w:val="00823EFB"/>
    <w:rsid w:val="008476EE"/>
    <w:rsid w:val="00860E2F"/>
    <w:rsid w:val="008B0D05"/>
    <w:rsid w:val="008D4916"/>
    <w:rsid w:val="008E4DFC"/>
    <w:rsid w:val="0090317A"/>
    <w:rsid w:val="00954516"/>
    <w:rsid w:val="0098073A"/>
    <w:rsid w:val="009E480D"/>
    <w:rsid w:val="009E59DB"/>
    <w:rsid w:val="009F5915"/>
    <w:rsid w:val="00A0145E"/>
    <w:rsid w:val="00A015FA"/>
    <w:rsid w:val="00A02535"/>
    <w:rsid w:val="00A5335A"/>
    <w:rsid w:val="00AB25CA"/>
    <w:rsid w:val="00AB5CFA"/>
    <w:rsid w:val="00B014B7"/>
    <w:rsid w:val="00B067BF"/>
    <w:rsid w:val="00B81884"/>
    <w:rsid w:val="00BD1F3E"/>
    <w:rsid w:val="00BD6E69"/>
    <w:rsid w:val="00BF75F7"/>
    <w:rsid w:val="00C10379"/>
    <w:rsid w:val="00C10891"/>
    <w:rsid w:val="00C63FE8"/>
    <w:rsid w:val="00C74CC3"/>
    <w:rsid w:val="00C821AD"/>
    <w:rsid w:val="00CA7A15"/>
    <w:rsid w:val="00CF04E6"/>
    <w:rsid w:val="00D10AC0"/>
    <w:rsid w:val="00D61F34"/>
    <w:rsid w:val="00D943A0"/>
    <w:rsid w:val="00DA5C8C"/>
    <w:rsid w:val="00E155DB"/>
    <w:rsid w:val="00E76447"/>
    <w:rsid w:val="00EA71CC"/>
    <w:rsid w:val="00EE1756"/>
    <w:rsid w:val="00F03F5E"/>
    <w:rsid w:val="00F824AA"/>
    <w:rsid w:val="00F84A30"/>
    <w:rsid w:val="00FB5A5A"/>
    <w:rsid w:val="00FC1D3B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F1C"/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A5C8C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01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01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01A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B07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E4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5451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5451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545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F1C"/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A5C8C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01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01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01A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B07F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E4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5451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5451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54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psicologi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colacriatividade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bliaonline.com.br/acf/mt/22/21" TargetMode="External"/><Relationship Id="rId2" Type="http://schemas.openxmlformats.org/officeDocument/2006/relationships/hyperlink" Target="javascript:abreDetalhe('K4772208Y3','Delma_Perp&#233;tua_Oliveira_de_Souza',465794)" TargetMode="External"/><Relationship Id="rId1" Type="http://schemas.openxmlformats.org/officeDocument/2006/relationships/hyperlink" Target="http://www.stf.jus.br/portal/cms/verNoticiaDetalhe.asp?idConteudo=299484" TargetMode="External"/><Relationship Id="rId4" Type="http://schemas.openxmlformats.org/officeDocument/2006/relationships/hyperlink" Target="https://www.bibliaonline.com.br/acf/mt/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5840-4C9F-435D-BC0B-3522EC0B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2624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Bathilde Jorge Moraes Abdalla</cp:lastModifiedBy>
  <cp:revision>4</cp:revision>
  <cp:lastPrinted>2016-09-09T23:29:00Z</cp:lastPrinted>
  <dcterms:created xsi:type="dcterms:W3CDTF">2016-09-11T14:35:00Z</dcterms:created>
  <dcterms:modified xsi:type="dcterms:W3CDTF">2016-09-12T18:44:00Z</dcterms:modified>
</cp:coreProperties>
</file>