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0C05FC" w:rsidRDefault="008A1ECF" w:rsidP="001849BA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1849BA">
              <w:rPr>
                <w:sz w:val="24"/>
                <w:szCs w:val="24"/>
                <w:u w:val="single"/>
              </w:rPr>
              <w:t>118</w:t>
            </w:r>
            <w:r w:rsidR="0067190A">
              <w:rPr>
                <w:sz w:val="24"/>
                <w:szCs w:val="24"/>
                <w:u w:val="single"/>
              </w:rPr>
              <w:t xml:space="preserve">/2022 - CIA </w:t>
            </w:r>
            <w:r w:rsidR="001849BA" w:rsidRPr="001849BA">
              <w:rPr>
                <w:sz w:val="24"/>
                <w:szCs w:val="24"/>
                <w:u w:val="single"/>
              </w:rPr>
              <w:t>0049047-91.2022.8.11.0000</w:t>
            </w:r>
          </w:p>
          <w:p w:rsidR="000B3B7D" w:rsidRPr="00B526A5" w:rsidRDefault="00F9042F" w:rsidP="00ED69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1849BA" w:rsidRPr="001849BA">
              <w:rPr>
                <w:sz w:val="24"/>
                <w:szCs w:val="24"/>
              </w:rPr>
              <w:t>SOLUÇÃO COMÉRCIO DE MÓVEIS E EQUIPAMENTOS LTDA</w:t>
            </w:r>
            <w:r w:rsidR="00ED694C">
              <w:rPr>
                <w:sz w:val="24"/>
                <w:szCs w:val="24"/>
              </w:rPr>
              <w:t>.</w:t>
            </w:r>
          </w:p>
          <w:p w:rsidR="00F9042F" w:rsidRPr="00B526A5" w:rsidRDefault="00F9042F" w:rsidP="0067190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="00633F27">
              <w:rPr>
                <w:i/>
                <w:sz w:val="24"/>
                <w:szCs w:val="24"/>
              </w:rPr>
              <w:t xml:space="preserve">: </w:t>
            </w:r>
            <w:r w:rsidR="00633F27" w:rsidRPr="0076305C">
              <w:rPr>
                <w:i/>
                <w:sz w:val="24"/>
                <w:szCs w:val="24"/>
              </w:rPr>
              <w:t xml:space="preserve">“(...) </w:t>
            </w:r>
            <w:r w:rsidR="0076305C" w:rsidRPr="0076305C">
              <w:rPr>
                <w:i/>
                <w:sz w:val="24"/>
                <w:szCs w:val="24"/>
              </w:rPr>
              <w:t xml:space="preserve">Ante o exposto, </w:t>
            </w:r>
            <w:r w:rsidR="001849BA" w:rsidRPr="001849BA">
              <w:rPr>
                <w:i/>
                <w:sz w:val="24"/>
                <w:szCs w:val="24"/>
              </w:rPr>
              <w:t xml:space="preserve">em conformidade com o parecer da Assessoria Técnico-Jurídica de Licitação (ATJL), julgo improcedente o recurso para manter hígida a penalidade de multa no importe de 20% sobre o valor total do contrato, cumulada com a suspensão de licitar e impedimento de contratar com o PJ/MT, pelo prazo de </w:t>
            </w:r>
            <w:proofErr w:type="gramStart"/>
            <w:r w:rsidR="001849BA" w:rsidRPr="001849BA">
              <w:rPr>
                <w:i/>
                <w:sz w:val="24"/>
                <w:szCs w:val="24"/>
              </w:rPr>
              <w:t>2</w:t>
            </w:r>
            <w:proofErr w:type="gramEnd"/>
            <w:r w:rsidR="001849BA" w:rsidRPr="001849BA">
              <w:rPr>
                <w:i/>
                <w:sz w:val="24"/>
                <w:szCs w:val="24"/>
              </w:rPr>
              <w:t xml:space="preserve"> (dois) anos, com fulcro no artigo 87, incisos II e III, da Lei de Licitações</w:t>
            </w:r>
            <w:r w:rsidR="0067190A">
              <w:rPr>
                <w:i/>
                <w:sz w:val="24"/>
                <w:szCs w:val="24"/>
              </w:rPr>
              <w:t>”.</w:t>
            </w:r>
          </w:p>
          <w:p w:rsidR="0067190A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67190A">
              <w:rPr>
                <w:sz w:val="24"/>
                <w:szCs w:val="24"/>
              </w:rPr>
              <w:t>15</w:t>
            </w:r>
            <w:r w:rsidR="00B526A5" w:rsidRPr="00B526A5">
              <w:rPr>
                <w:sz w:val="24"/>
                <w:szCs w:val="24"/>
              </w:rPr>
              <w:t xml:space="preserve">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1849BA">
              <w:rPr>
                <w:sz w:val="24"/>
                <w:szCs w:val="24"/>
              </w:rPr>
              <w:t>março</w:t>
            </w:r>
            <w:bookmarkStart w:id="0" w:name="_GoBack"/>
            <w:bookmarkEnd w:id="0"/>
            <w:r w:rsidR="002757D3" w:rsidRPr="00B526A5">
              <w:rPr>
                <w:sz w:val="24"/>
                <w:szCs w:val="24"/>
              </w:rPr>
              <w:t xml:space="preserve"> de </w:t>
            </w:r>
            <w:r w:rsidR="00ED694C">
              <w:rPr>
                <w:sz w:val="24"/>
                <w:szCs w:val="24"/>
              </w:rPr>
              <w:t>2023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1849BA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1849BA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1849BA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ED694C">
      <w:rPr>
        <w:rFonts w:ascii="Verdana" w:hAnsi="Verdana"/>
        <w:b/>
        <w:bCs/>
        <w:sz w:val="16"/>
        <w:szCs w:val="16"/>
      </w:rPr>
      <w:t>103</w:t>
    </w:r>
    <w:r w:rsidR="000B3B7D">
      <w:rPr>
        <w:rFonts w:ascii="Verdana" w:hAnsi="Verdana"/>
        <w:b/>
        <w:bCs/>
        <w:sz w:val="16"/>
        <w:szCs w:val="16"/>
      </w:rPr>
      <w:t>/</w:t>
    </w:r>
    <w:r w:rsidR="00ED694C">
      <w:rPr>
        <w:rFonts w:ascii="Verdana" w:hAnsi="Verdana"/>
        <w:b/>
        <w:bCs/>
        <w:sz w:val="16"/>
        <w:szCs w:val="16"/>
      </w:rPr>
      <w:t>2019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ED694C">
      <w:rPr>
        <w:rFonts w:ascii="Verdana" w:hAnsi="Verdana"/>
        <w:b/>
        <w:bCs/>
        <w:sz w:val="16"/>
        <w:szCs w:val="16"/>
      </w:rPr>
      <w:t>0079022-66.2019.8.11.0000</w:t>
    </w:r>
  </w:p>
  <w:p w:rsidR="00C16E62" w:rsidRPr="00141024" w:rsidRDefault="001849BA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508F"/>
    <w:rsid w:val="000F60D7"/>
    <w:rsid w:val="001849BA"/>
    <w:rsid w:val="00196FBF"/>
    <w:rsid w:val="001C3498"/>
    <w:rsid w:val="001E34B9"/>
    <w:rsid w:val="00213392"/>
    <w:rsid w:val="002757D3"/>
    <w:rsid w:val="00284DBF"/>
    <w:rsid w:val="002A012F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7DFC"/>
    <w:rsid w:val="0067190A"/>
    <w:rsid w:val="0067359C"/>
    <w:rsid w:val="006C238D"/>
    <w:rsid w:val="006E5CD7"/>
    <w:rsid w:val="007002D9"/>
    <w:rsid w:val="0076305C"/>
    <w:rsid w:val="007E4CB8"/>
    <w:rsid w:val="00875D7A"/>
    <w:rsid w:val="008A1ECF"/>
    <w:rsid w:val="008E79FA"/>
    <w:rsid w:val="008F2555"/>
    <w:rsid w:val="00A0215F"/>
    <w:rsid w:val="00A37700"/>
    <w:rsid w:val="00AA14F9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Eliana Silva Costa</cp:lastModifiedBy>
  <cp:revision>2</cp:revision>
  <cp:lastPrinted>2020-01-13T18:37:00Z</cp:lastPrinted>
  <dcterms:created xsi:type="dcterms:W3CDTF">2023-03-15T14:26:00Z</dcterms:created>
  <dcterms:modified xsi:type="dcterms:W3CDTF">2023-03-15T14:26:00Z</dcterms:modified>
</cp:coreProperties>
</file>