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2" w:rsidRPr="00081092" w:rsidRDefault="00081092" w:rsidP="000810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109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Plano de Ação</w:t>
      </w:r>
      <w:r w:rsidRPr="000810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81092" w:rsidRPr="00081092" w:rsidRDefault="00081092" w:rsidP="000810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1092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PROGRAMA ESTADUAL DE AÇÃO CONTRA AS DROGAS</w:t>
      </w:r>
    </w:p>
    <w:p w:rsidR="00081092" w:rsidRPr="00081092" w:rsidRDefault="00081092" w:rsidP="00081092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 w:rsidRPr="00081092">
        <w:rPr>
          <w:rFonts w:ascii="Arial" w:eastAsia="Times New Roman" w:hAnsi="Arial" w:cs="Arial"/>
          <w:b/>
          <w:sz w:val="32"/>
          <w:szCs w:val="32"/>
          <w:lang w:eastAsia="pt-BR"/>
        </w:rPr>
        <w:t>“</w:t>
      </w:r>
      <w:r w:rsidRPr="00081092">
        <w:rPr>
          <w:rFonts w:ascii="Arial" w:eastAsia="Times New Roman" w:hAnsi="Arial" w:cs="Arial"/>
          <w:b/>
          <w:bCs/>
          <w:i/>
          <w:iCs/>
          <w:sz w:val="32"/>
          <w:szCs w:val="32"/>
          <w:lang w:eastAsia="pt-BR"/>
        </w:rPr>
        <w:t>T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pt-BR"/>
        </w:rPr>
        <w:t xml:space="preserve">ODOS CONTRA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pt-BR"/>
        </w:rPr>
        <w:t>AS DROGAS ILÍCITAS”</w:t>
      </w:r>
    </w:p>
    <w:p w:rsidR="00081092" w:rsidRPr="00081092" w:rsidRDefault="00081092" w:rsidP="000810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1092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ANEXO I</w:t>
      </w:r>
    </w:p>
    <w:p w:rsidR="00081092" w:rsidRPr="00081092" w:rsidRDefault="00081092" w:rsidP="000810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1518"/>
        <w:gridCol w:w="2126"/>
        <w:gridCol w:w="1295"/>
        <w:gridCol w:w="1116"/>
        <w:gridCol w:w="566"/>
        <w:gridCol w:w="994"/>
        <w:gridCol w:w="924"/>
      </w:tblGrid>
      <w:tr w:rsidR="00081092" w:rsidRPr="00081092" w:rsidTr="00081092">
        <w:trPr>
          <w:trHeight w:val="285"/>
          <w:tblCellSpacing w:w="0" w:type="dxa"/>
        </w:trPr>
        <w:tc>
          <w:tcPr>
            <w:tcW w:w="234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Plano de Ação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Programa de Ação Antidrogas</w:t>
            </w:r>
          </w:p>
        </w:tc>
        <w:tc>
          <w:tcPr>
            <w:tcW w:w="265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Unidade:</w:t>
            </w:r>
          </w:p>
        </w:tc>
      </w:tr>
      <w:tr w:rsidR="00081092" w:rsidRPr="00081092" w:rsidTr="00081092">
        <w:trPr>
          <w:tblCellSpacing w:w="0" w:type="dxa"/>
        </w:trPr>
        <w:tc>
          <w:tcPr>
            <w:tcW w:w="234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265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Participantes:</w:t>
            </w:r>
          </w:p>
        </w:tc>
      </w:tr>
      <w:tr w:rsidR="00081092" w:rsidRPr="00081092" w:rsidTr="00081092">
        <w:trPr>
          <w:tblCellSpacing w:w="0" w:type="dxa"/>
        </w:trPr>
        <w:tc>
          <w:tcPr>
            <w:tcW w:w="23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Metas</w:t>
            </w:r>
          </w:p>
        </w:tc>
        <w:tc>
          <w:tcPr>
            <w:tcW w:w="265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Valor Orçado:</w:t>
            </w:r>
          </w:p>
        </w:tc>
      </w:tr>
      <w:tr w:rsidR="00081092" w:rsidRPr="00081092" w:rsidTr="00081092">
        <w:trPr>
          <w:trHeight w:val="180"/>
          <w:tblCellSpacing w:w="0" w:type="dxa"/>
        </w:trPr>
        <w:tc>
          <w:tcPr>
            <w:tcW w:w="3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Nº</w:t>
            </w:r>
          </w:p>
        </w:tc>
        <w:tc>
          <w:tcPr>
            <w:tcW w:w="8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Medida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(O que fazer)</w:t>
            </w:r>
          </w:p>
        </w:tc>
        <w:tc>
          <w:tcPr>
            <w:tcW w:w="11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Procedimento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(Como fazer)</w:t>
            </w:r>
          </w:p>
        </w:tc>
        <w:tc>
          <w:tcPr>
            <w:tcW w:w="7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Responsável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(Quem vai fazer)</w:t>
            </w:r>
          </w:p>
        </w:tc>
        <w:tc>
          <w:tcPr>
            <w:tcW w:w="6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Local (Onde)</w:t>
            </w:r>
          </w:p>
        </w:tc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Prazo (Quando:)</w:t>
            </w:r>
          </w:p>
        </w:tc>
        <w:tc>
          <w:tcPr>
            <w:tcW w:w="5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Custo 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br/>
            </w:r>
            <w:proofErr w:type="gramStart"/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proofErr w:type="gramEnd"/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Quanto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br/>
            </w: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vai custar)</w:t>
            </w:r>
          </w:p>
        </w:tc>
      </w:tr>
      <w:tr w:rsidR="00081092" w:rsidRPr="00081092" w:rsidTr="00081092">
        <w:trPr>
          <w:trHeight w:val="420"/>
          <w:tblCellSpacing w:w="0" w:type="dxa"/>
        </w:trPr>
        <w:tc>
          <w:tcPr>
            <w:tcW w:w="3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8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1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Inicio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Fim</w:t>
            </w:r>
          </w:p>
        </w:tc>
        <w:tc>
          <w:tcPr>
            <w:tcW w:w="5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01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Viabilizar 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 FUNERD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Articular a criação da FUNERD – Fundação Estadual de Resistência às Drogas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PGJ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Julho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02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Viabilizar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</w:t>
            </w:r>
            <w:proofErr w:type="gram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Fundo Estadual Antidrogas- FEA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Articular a criação do 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Fundo Estadual Antidrogas</w:t>
            </w:r>
            <w:proofErr w:type="gram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- FEA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PGJ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Julho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03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Viabilizar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Conselho Municipal antidrogas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Articular a criação do Conselho Antidrogas em cada Município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CGMP / Promotores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Julho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Viabilizar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</w:t>
            </w:r>
            <w:proofErr w:type="gram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implantação do Plano Municipal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Articular Projeto de criação de Pronto Atendimento interdisciplinar à criança e adolescente vítimas de drogas - 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u w:val="single"/>
                <w:lang w:eastAsia="pt-BR"/>
              </w:rPr>
              <w:t>detalhar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CGMP / Promotores da infância e adolescente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Dezembro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05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Viabilizar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 a ampliação dos serviços do </w:t>
            </w:r>
            <w:proofErr w:type="spell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CAP's</w:t>
            </w:r>
            <w:proofErr w:type="spell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– Capital e Comarcas Polo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Articular Projeto de ampliação do </w:t>
            </w:r>
            <w:proofErr w:type="spell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CAP's</w:t>
            </w:r>
            <w:proofErr w:type="spell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na Capital e implantação e/ou ampliação de </w:t>
            </w:r>
            <w:proofErr w:type="spell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CAP's</w:t>
            </w:r>
            <w:proofErr w:type="spell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nos </w:t>
            </w:r>
            <w:proofErr w:type="spell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pólos</w:t>
            </w:r>
            <w:proofErr w:type="spell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de: Rondonópolis, SINOP, Cáceres, Tangará da Serra, Diamantino, Alta Floresta, Juína, Água Boa e Barra 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do Garças</w:t>
            </w:r>
            <w:proofErr w:type="gram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Procurador Geral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Dezembro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06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Viabilizar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a criação de unidades de saúde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Articular Projeto de criação de unidades de saúde estadual/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municipal destinadas a usuários e dependentes de drogas</w:t>
            </w:r>
            <w:proofErr w:type="gram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Procurador Geral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Dezembro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07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Adotar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Sistemática de Indicadores nos processos relativos aos crimes de tráfico e posse de drogas para uso próprio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Criar um painel com indicadores de tempo de duração do processo, de resultado das ações penais e de recursos, da quantidade e natureza das drogas, de bens e valores apreendidos e da condição </w:t>
            </w:r>
            <w:proofErr w:type="spell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sócio-econômica</w:t>
            </w:r>
            <w:proofErr w:type="spellEnd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dos acusados.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Procuradoria Criminal Especializada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Dezembro de 2010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08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Exigir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padrão de despacho fundamentado de classificação do crime no flagrante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Criar despacho modelo e enviá-lo à Diretoria Geral de Policia com recomendação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Procuradoria Criminal Especializada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Dezembro de 2010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09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Exigir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 a apreensão imediata de bens e valores, instrumentos, veículos e produtos relacionados ao tráfico e a sistemática 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 xml:space="preserve">identificação de outros no prazo 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legal</w:t>
            </w:r>
            <w:proofErr w:type="gramEnd"/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Redigir recomendação à Diretoria Geral de Policia para que proceda a diligencias complementares para localização de bens, direitos e valores do acusado enviando-a ao juízo no prazo legal.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Procuradoria Criminal Especializada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Setembro 2010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Requerer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o “sequestro” de bens e fiscalizar a decisão do perdimento de bens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exame caso a caso, inclusive requisitando informações a cartórios de registro de imóveis, à Junta Comercial do Estado, ao Banco Central e à Secretaria da Receita Federal.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Promotor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Ação permanente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rHeight w:val="2685"/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Fiscalizar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o uso correto da faculdade de utilização de bens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exame caso a caso, inclusive com a conferência dos bens apreendidos e sua localização a fim de assegurar eventual responsabilização do detentor.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Exigir justificativas fundadas para o pedido de acautelamento do bem por parte da autoridade policial, especialmente de veículos, dada a necessidade de atender-se o objetivo de conservação aludido na lei.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Promotor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Ação permanente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Fiscalizar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a correta utilização de bens pelos órgãos admitidos</w:t>
            </w: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 lei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exame caso a caso, exigindo previa manifestação da SENAD e prova de regularidade do funcionamento das entidades pretendentes.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Promotor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Ação permanente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Requerer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, em caráter cautelar, a conversão de dinheiro estrangeiro e a compensação de cheques apreendido e o deposito em conta judicial 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(Art. 62.</w:t>
            </w:r>
            <w:proofErr w:type="gramEnd"/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exame caso a caso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Promotor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Criar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 Cadastro de bens, direitos e valores declarados perdidos em favor da 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União</w:t>
            </w:r>
            <w:proofErr w:type="gramEnd"/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levantamento nos autos dos processos, identificando-os e localizando-os, para controle da destinação do produto declarado perdido.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Promotor de Justiça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Ação permanente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Criar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sistemática de controle sobre os requerimentos de infiltração e ação controlada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recomendação às autoridades policiais para que formalizem requerimento prévio ao juízo quanto às ações, devidamente justificadas ante o risco que comportam essas ações.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Promotor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Fiscalizar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a correta aplicação da lei quanto à causa de diminuição de pena de que trata o art. 33 § 4º da lei nº 11.343/2006 e o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Mediante exame caso a caso e, inclusive, com atenção ao Assento nº da Turma de Uniformização de 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Entendimento</w:t>
            </w:r>
            <w:proofErr w:type="gramEnd"/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Promotor de Justiça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Ação permanente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Proceder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a levantamento e localização de veículos, armas e outros bens apreendidos em IP e processos nos últimos dois anos.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o exame dos autos, a fim de subsidiar a formação de banco de dados estatísticos e indicadores.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Os Promotores de Justiça c/c da PCE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Março de 2011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Proceder 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a levantamento, dos dois últimos anos, do tipo e quantidade de drogas apreendidas no estado e o controle da </w:t>
            </w:r>
            <w:proofErr w:type="gramStart"/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incineração</w:t>
            </w:r>
            <w:proofErr w:type="gramEnd"/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o exame dos autos, a fim de subsidiar a formação de banco de dados estatísticos e indicadores.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Os Promotores de Justiça c/c da PCE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Março de 2011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>19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Criar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cadastro de acusados de crimes de tráfico e de posse de drogas para uso próprio (controle de condenações/absolvições/mandados de prisão)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o exame dos autos, a fim de subsidiar a formação de banco de dados estatísticos e indicadores.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GAECO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Fevereiro de 2011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Articular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Plano de Prevenção e Repressão permanente na fronteira Brasil/Bolívia até a Capital do Estado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Medida: audiência das autoridades competentes na fiscalização e Repressão na fronteira, definição de indicadores de resultados, estratégias e metas.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PCE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Dezembro de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Exigir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a correta aplicação e destinação das multas aplicadas em cumprimento à lei antidrogas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exame caso a caso, inclusive velando para a não isenção da penalidade.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</w:t>
            </w:r>
          </w:p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Criar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coordenação em atividades de inteligência e investigação do tráfico de drogas.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Medida: Designação de um Promotor de Justiça do GAECO com atribuições exclusivas.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PGJ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Maio de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81092" w:rsidRPr="00081092" w:rsidTr="00081092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Instituir</w:t>
            </w: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sistemática de apoio permanente do GAECO aos Promotores de Justiça para localização de testemunhas não intimadas.</w:t>
            </w:r>
          </w:p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Mediante ato normativo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PGJ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08109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Maio de 2011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1092" w:rsidRPr="00081092" w:rsidRDefault="00081092" w:rsidP="000810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</w:tbl>
    <w:p w:rsidR="007C327B" w:rsidRDefault="007C327B"/>
    <w:sectPr w:rsidR="007C327B" w:rsidSect="0008109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2"/>
    <w:rsid w:val="00081092"/>
    <w:rsid w:val="007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udotituloshow">
    <w:name w:val="conteudotituloshow"/>
    <w:basedOn w:val="Fontepargpadro"/>
    <w:rsid w:val="00081092"/>
  </w:style>
  <w:style w:type="paragraph" w:styleId="NormalWeb">
    <w:name w:val="Normal (Web)"/>
    <w:basedOn w:val="Normal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1092"/>
  </w:style>
  <w:style w:type="paragraph" w:customStyle="1" w:styleId="western">
    <w:name w:val="western"/>
    <w:basedOn w:val="Normal"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udotituloshow">
    <w:name w:val="conteudotituloshow"/>
    <w:basedOn w:val="Fontepargpadro"/>
    <w:rsid w:val="00081092"/>
  </w:style>
  <w:style w:type="paragraph" w:styleId="NormalWeb">
    <w:name w:val="Normal (Web)"/>
    <w:basedOn w:val="Normal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1092"/>
  </w:style>
  <w:style w:type="paragraph" w:customStyle="1" w:styleId="western">
    <w:name w:val="western"/>
    <w:basedOn w:val="Normal"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2017-04-04T20:27:00Z</dcterms:created>
  <dcterms:modified xsi:type="dcterms:W3CDTF">2017-04-04T20:37:00Z</dcterms:modified>
</cp:coreProperties>
</file>